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526F" w:rsidRPr="002A6BA8" w:rsidRDefault="0059526F" w:rsidP="00DB60D3">
      <w:pPr>
        <w:rPr>
          <w:lang w:val="en-US"/>
        </w:rPr>
      </w:pPr>
      <w:r w:rsidRPr="002A6BA8">
        <w:rPr>
          <w:lang w:val="en-US"/>
        </w:rPr>
        <w:t xml:space="preserve">DOI: 10.1002/((please add manuscript number)) </w:t>
      </w:r>
      <w:bookmarkStart w:id="0" w:name="_GoBack"/>
      <w:bookmarkEnd w:id="0"/>
    </w:p>
    <w:p w:rsidR="007D24A9" w:rsidRPr="002A6BA8" w:rsidRDefault="00AC4C5C" w:rsidP="00A92DE8">
      <w:pPr>
        <w:rPr>
          <w:lang w:val="en-US"/>
        </w:rPr>
      </w:pPr>
      <w:r w:rsidRPr="002A6BA8">
        <w:rPr>
          <w:b/>
          <w:bCs/>
          <w:lang w:val="en-US"/>
        </w:rPr>
        <w:t xml:space="preserve">Article type: </w:t>
      </w:r>
      <w:r w:rsidR="0035474E" w:rsidRPr="002A6BA8">
        <w:rPr>
          <w:b/>
          <w:bCs/>
          <w:lang w:val="en-US"/>
        </w:rPr>
        <w:t>Communication</w:t>
      </w:r>
    </w:p>
    <w:p w:rsidR="0001454A" w:rsidRPr="002A6BA8" w:rsidRDefault="0001454A" w:rsidP="00A92DE8">
      <w:pPr>
        <w:rPr>
          <w:lang w:val="en-US"/>
        </w:rPr>
      </w:pPr>
    </w:p>
    <w:p w:rsidR="00004A23" w:rsidRPr="002A6BA8" w:rsidRDefault="00004A23" w:rsidP="00A92DE8">
      <w:pPr>
        <w:rPr>
          <w:lang w:val="en-US"/>
        </w:rPr>
      </w:pPr>
    </w:p>
    <w:p w:rsidR="009A38EA" w:rsidRPr="002A6BA8" w:rsidRDefault="009A38EA" w:rsidP="00A92DE8">
      <w:pPr>
        <w:pStyle w:val="Title2"/>
      </w:pPr>
      <w:r w:rsidRPr="002A6BA8">
        <w:t>Picosecond Capture of Photo</w:t>
      </w:r>
      <w:r w:rsidR="00727413" w:rsidRPr="002A6BA8">
        <w:t>excited</w:t>
      </w:r>
      <w:r w:rsidRPr="002A6BA8">
        <w:t xml:space="preserve"> Electrons improves </w:t>
      </w:r>
      <w:r w:rsidR="008A67F0" w:rsidRPr="002A6BA8">
        <w:t>Photovoltaic Conversion</w:t>
      </w:r>
      <w:r w:rsidRPr="002A6BA8">
        <w:t xml:space="preserve"> in MAPbI</w:t>
      </w:r>
      <w:r w:rsidRPr="002A6BA8">
        <w:rPr>
          <w:vertAlign w:val="subscript"/>
        </w:rPr>
        <w:t>3</w:t>
      </w:r>
      <w:r w:rsidRPr="002A6BA8">
        <w:t>:C</w:t>
      </w:r>
      <w:r w:rsidRPr="002A6BA8">
        <w:rPr>
          <w:vertAlign w:val="subscript"/>
        </w:rPr>
        <w:t>70</w:t>
      </w:r>
      <w:r w:rsidRPr="002A6BA8">
        <w:t xml:space="preserve"> doped Planar and Mesoporous Solar Cells</w:t>
      </w:r>
    </w:p>
    <w:p w:rsidR="002D16A0" w:rsidRPr="002A6BA8" w:rsidRDefault="002D16A0" w:rsidP="00A92DE8">
      <w:pPr>
        <w:pStyle w:val="Tableofcontents"/>
      </w:pPr>
    </w:p>
    <w:p w:rsidR="000E5834" w:rsidRPr="002A6BA8" w:rsidRDefault="000E5834" w:rsidP="00A92DE8">
      <w:pPr>
        <w:pStyle w:val="AuthorsFull"/>
        <w:rPr>
          <w:vertAlign w:val="superscript"/>
          <w:lang w:val="it-IT"/>
        </w:rPr>
      </w:pPr>
      <w:r w:rsidRPr="002A6BA8">
        <w:rPr>
          <w:lang w:val="it-IT"/>
        </w:rPr>
        <w:t xml:space="preserve">Saba </w:t>
      </w:r>
      <w:r w:rsidRPr="002A6BA8">
        <w:rPr>
          <w:lang w:val="de-DE"/>
        </w:rPr>
        <w:t>Gharibzadeh</w:t>
      </w:r>
      <w:r w:rsidR="00422BC6" w:rsidRPr="002A6BA8">
        <w:rPr>
          <w:lang w:val="de-DE"/>
        </w:rPr>
        <w:t xml:space="preserve"> </w:t>
      </w:r>
      <w:r w:rsidR="00832EEE" w:rsidRPr="002A6BA8">
        <w:rPr>
          <w:vertAlign w:val="superscript"/>
          <w:lang w:val="de-DE"/>
        </w:rPr>
        <w:t>a</w:t>
      </w:r>
      <w:r w:rsidR="00A53D2A" w:rsidRPr="002A6BA8">
        <w:rPr>
          <w:vertAlign w:val="superscript"/>
          <w:lang w:val="de-DE"/>
        </w:rPr>
        <w:t>,b</w:t>
      </w:r>
      <w:r w:rsidRPr="002A6BA8">
        <w:rPr>
          <w:lang w:val="it-IT"/>
        </w:rPr>
        <w:t>, Franco</w:t>
      </w:r>
      <w:r w:rsidR="00832EEE" w:rsidRPr="002A6BA8">
        <w:rPr>
          <w:lang w:val="it-IT"/>
        </w:rPr>
        <w:t xml:space="preserve"> </w:t>
      </w:r>
      <w:r w:rsidR="00832EEE" w:rsidRPr="002A6BA8">
        <w:rPr>
          <w:lang w:val="de-DE"/>
        </w:rPr>
        <w:t>Valduga de A</w:t>
      </w:r>
      <w:r w:rsidR="00422BC6" w:rsidRPr="002A6BA8">
        <w:rPr>
          <w:lang w:val="de-DE"/>
        </w:rPr>
        <w:t>lmeida Camarg</w:t>
      </w:r>
      <w:r w:rsidR="0041454E" w:rsidRPr="002A6BA8">
        <w:rPr>
          <w:lang w:val="de-DE"/>
        </w:rPr>
        <w:t>o</w:t>
      </w:r>
      <w:r w:rsidR="00832EEE" w:rsidRPr="002A6BA8">
        <w:rPr>
          <w:vertAlign w:val="superscript"/>
          <w:lang w:val="de-DE"/>
        </w:rPr>
        <w:t xml:space="preserve"> </w:t>
      </w:r>
      <w:r w:rsidR="00422BC6" w:rsidRPr="002A6BA8">
        <w:rPr>
          <w:vertAlign w:val="superscript"/>
          <w:lang w:val="de-DE"/>
        </w:rPr>
        <w:t xml:space="preserve"> </w:t>
      </w:r>
      <w:r w:rsidR="00A53D2A" w:rsidRPr="002A6BA8">
        <w:rPr>
          <w:vertAlign w:val="superscript"/>
          <w:lang w:val="de-DE"/>
        </w:rPr>
        <w:t>c</w:t>
      </w:r>
      <w:r w:rsidRPr="002A6BA8">
        <w:rPr>
          <w:lang w:val="it-IT"/>
        </w:rPr>
        <w:t xml:space="preserve">, Cristina </w:t>
      </w:r>
      <w:r w:rsidR="00832EEE" w:rsidRPr="002A6BA8">
        <w:rPr>
          <w:lang w:val="de-DE"/>
        </w:rPr>
        <w:t>Roldán-Carmona</w:t>
      </w:r>
      <w:r w:rsidR="00422BC6" w:rsidRPr="002A6BA8">
        <w:rPr>
          <w:lang w:val="de-DE"/>
        </w:rPr>
        <w:t xml:space="preserve"> </w:t>
      </w:r>
      <w:r w:rsidR="00832EEE" w:rsidRPr="002A6BA8">
        <w:rPr>
          <w:vertAlign w:val="superscript"/>
          <w:lang w:val="de-DE"/>
        </w:rPr>
        <w:t>a</w:t>
      </w:r>
      <w:r w:rsidR="00422BC6" w:rsidRPr="002A6BA8">
        <w:rPr>
          <w:lang w:val="it-IT"/>
        </w:rPr>
        <w:t xml:space="preserve">, </w:t>
      </w:r>
      <w:hyperlink r:id="rId9" w:history="1">
        <w:r w:rsidR="00291F5C" w:rsidRPr="002A6BA8">
          <w:rPr>
            <w:rStyle w:val="Hyperlink"/>
            <w:color w:val="auto"/>
            <w:u w:val="none"/>
            <w:lang w:val="it-IT"/>
          </w:rPr>
          <w:t>Grégoire Clément Gschwend</w:t>
        </w:r>
      </w:hyperlink>
      <w:r w:rsidR="00291F5C" w:rsidRPr="002A6BA8">
        <w:rPr>
          <w:lang w:val="it-IT"/>
        </w:rPr>
        <w:t xml:space="preserve"> </w:t>
      </w:r>
      <w:r w:rsidR="00A53D2A" w:rsidRPr="002A6BA8">
        <w:rPr>
          <w:vertAlign w:val="superscript"/>
          <w:lang w:val="it-IT"/>
        </w:rPr>
        <w:t>d</w:t>
      </w:r>
      <w:r w:rsidR="00787A91" w:rsidRPr="002A6BA8">
        <w:rPr>
          <w:lang w:val="it-IT"/>
        </w:rPr>
        <w:t xml:space="preserve">, </w:t>
      </w:r>
      <w:r w:rsidR="00F95157" w:rsidRPr="002A6BA8">
        <w:rPr>
          <w:lang w:val="it-IT"/>
        </w:rPr>
        <w:t xml:space="preserve">Jorge Pascual </w:t>
      </w:r>
      <w:r w:rsidR="00F95157" w:rsidRPr="002A6BA8">
        <w:rPr>
          <w:vertAlign w:val="superscript"/>
          <w:lang w:val="it-IT"/>
        </w:rPr>
        <w:t>e,f</w:t>
      </w:r>
      <w:r w:rsidR="00F95157" w:rsidRPr="002A6BA8">
        <w:rPr>
          <w:lang w:val="it-IT"/>
        </w:rPr>
        <w:t>,</w:t>
      </w:r>
      <w:r w:rsidR="00F95157" w:rsidRPr="002A6BA8">
        <w:rPr>
          <w:vertAlign w:val="superscript"/>
          <w:lang w:val="it-IT"/>
        </w:rPr>
        <w:t xml:space="preserve"> </w:t>
      </w:r>
      <w:r w:rsidR="00832EEE" w:rsidRPr="002A6BA8">
        <w:rPr>
          <w:lang w:val="es-ES"/>
        </w:rPr>
        <w:t>Ramón Tena-Zaera</w:t>
      </w:r>
      <w:r w:rsidR="00422BC6" w:rsidRPr="002A6BA8">
        <w:rPr>
          <w:lang w:val="es-ES"/>
        </w:rPr>
        <w:t xml:space="preserve"> </w:t>
      </w:r>
      <w:r w:rsidR="00A53D2A" w:rsidRPr="002A6BA8">
        <w:rPr>
          <w:vertAlign w:val="superscript"/>
          <w:lang w:val="es-ES"/>
        </w:rPr>
        <w:t>e</w:t>
      </w:r>
      <w:r w:rsidRPr="002A6BA8">
        <w:rPr>
          <w:lang w:val="it-IT"/>
        </w:rPr>
        <w:t>, Giulio</w:t>
      </w:r>
      <w:r w:rsidR="00422BC6" w:rsidRPr="002A6BA8">
        <w:rPr>
          <w:lang w:val="it-IT"/>
        </w:rPr>
        <w:t xml:space="preserve"> Cerullo </w:t>
      </w:r>
      <w:r w:rsidR="00A53D2A" w:rsidRPr="002A6BA8">
        <w:rPr>
          <w:vertAlign w:val="superscript"/>
          <w:lang w:val="de-DE"/>
        </w:rPr>
        <w:t>c</w:t>
      </w:r>
      <w:r w:rsidRPr="002A6BA8">
        <w:rPr>
          <w:lang w:val="it-IT"/>
        </w:rPr>
        <w:t>, Giulia</w:t>
      </w:r>
      <w:r w:rsidR="00832EEE" w:rsidRPr="002A6BA8">
        <w:rPr>
          <w:lang w:val="it-IT"/>
        </w:rPr>
        <w:t xml:space="preserve"> Grancini </w:t>
      </w:r>
      <w:r w:rsidR="00832EEE" w:rsidRPr="002A6BA8">
        <w:rPr>
          <w:vertAlign w:val="superscript"/>
          <w:lang w:val="de-DE"/>
        </w:rPr>
        <w:t>a,</w:t>
      </w:r>
      <w:r w:rsidRPr="002A6BA8">
        <w:rPr>
          <w:vertAlign w:val="superscript"/>
          <w:lang w:val="it-IT"/>
        </w:rPr>
        <w:t>*</w:t>
      </w:r>
      <w:r w:rsidR="00C94D9C" w:rsidRPr="002A6BA8">
        <w:rPr>
          <w:lang w:val="it-IT"/>
        </w:rPr>
        <w:t>,</w:t>
      </w:r>
      <w:r w:rsidR="00832EEE" w:rsidRPr="002A6BA8">
        <w:rPr>
          <w:lang w:val="it-IT"/>
        </w:rPr>
        <w:t xml:space="preserve"> </w:t>
      </w:r>
      <w:r w:rsidR="00832EEE" w:rsidRPr="002A6BA8">
        <w:rPr>
          <w:lang w:val="de-DE"/>
        </w:rPr>
        <w:t xml:space="preserve">Mohammad Khaja Nazeeruddin </w:t>
      </w:r>
      <w:r w:rsidR="00832EEE" w:rsidRPr="002A6BA8">
        <w:rPr>
          <w:vertAlign w:val="superscript"/>
          <w:lang w:val="de-DE"/>
        </w:rPr>
        <w:t>a,*</w:t>
      </w:r>
    </w:p>
    <w:p w:rsidR="008C4441" w:rsidRPr="002A6BA8" w:rsidRDefault="008C4441" w:rsidP="00A92DE8">
      <w:pPr>
        <w:pStyle w:val="AuthorsFull"/>
        <w:rPr>
          <w:lang w:val="it-IT"/>
        </w:rPr>
      </w:pPr>
    </w:p>
    <w:p w:rsidR="00832EEE" w:rsidRPr="002A6BA8" w:rsidRDefault="00291F5C" w:rsidP="00A92DE8">
      <w:pPr>
        <w:pStyle w:val="Addresses"/>
        <w:rPr>
          <w:lang w:val="en-GB"/>
        </w:rPr>
      </w:pPr>
      <w:r w:rsidRPr="002A6BA8">
        <w:rPr>
          <w:vertAlign w:val="superscript"/>
          <w:lang w:val="en-GB"/>
        </w:rPr>
        <w:t>a</w:t>
      </w:r>
      <w:r w:rsidRPr="002A6BA8">
        <w:rPr>
          <w:lang w:val="es-ES"/>
        </w:rPr>
        <w:t xml:space="preserve"> </w:t>
      </w:r>
      <w:r w:rsidR="00832EEE" w:rsidRPr="002A6BA8">
        <w:rPr>
          <w:lang w:val="es-ES"/>
        </w:rPr>
        <w:t xml:space="preserve">S. </w:t>
      </w:r>
      <w:r w:rsidR="00832EEE" w:rsidRPr="002A6BA8">
        <w:rPr>
          <w:lang w:val="de-DE"/>
        </w:rPr>
        <w:t>Gharibzadeh,</w:t>
      </w:r>
      <w:r w:rsidR="00832EEE" w:rsidRPr="002A6BA8">
        <w:rPr>
          <w:lang w:val="es-ES"/>
        </w:rPr>
        <w:t xml:space="preserve"> Dr. C. </w:t>
      </w:r>
      <w:r w:rsidR="00832EEE" w:rsidRPr="002A6BA8">
        <w:rPr>
          <w:lang w:val="de-DE"/>
        </w:rPr>
        <w:t>Roldán-Carmona,</w:t>
      </w:r>
      <w:r w:rsidR="00832EEE" w:rsidRPr="002A6BA8">
        <w:rPr>
          <w:lang w:val="es-ES"/>
        </w:rPr>
        <w:t xml:space="preserve"> Dr. G. Grancini, Prof. Md. K. Nazeeruddin, Group for </w:t>
      </w:r>
      <w:r w:rsidR="00832EEE" w:rsidRPr="002A6BA8">
        <w:rPr>
          <w:lang w:val="de-DE"/>
        </w:rPr>
        <w:t>Molecular Engineering of Functional Materials,</w:t>
      </w:r>
      <w:r w:rsidR="00832EEE" w:rsidRPr="002A6BA8">
        <w:rPr>
          <w:lang w:val="fr-FR"/>
        </w:rPr>
        <w:t xml:space="preserve"> Ecole Polytechnique Fédérale Lausanne Valais Wallis, </w:t>
      </w:r>
      <w:r w:rsidR="00832EEE" w:rsidRPr="002A6BA8">
        <w:rPr>
          <w:lang w:val="en-GB"/>
        </w:rPr>
        <w:t>Sion CH-1951, Switzerland</w:t>
      </w:r>
    </w:p>
    <w:p w:rsidR="00A53D2A" w:rsidRPr="002A6BA8" w:rsidRDefault="00A53D2A" w:rsidP="00A92DE8">
      <w:pPr>
        <w:pStyle w:val="Addresses"/>
        <w:rPr>
          <w:lang w:val="en-GB"/>
        </w:rPr>
      </w:pPr>
      <w:r w:rsidRPr="002A6BA8">
        <w:rPr>
          <w:vertAlign w:val="superscript"/>
          <w:lang w:val="en-GB"/>
        </w:rPr>
        <w:t>b</w:t>
      </w:r>
      <w:r w:rsidRPr="002A6BA8">
        <w:rPr>
          <w:lang w:val="en-GB"/>
        </w:rPr>
        <w:t xml:space="preserve"> </w:t>
      </w:r>
      <w:r w:rsidRPr="002A6BA8">
        <w:t>S. Gharibzadeh, Department of Physics, Tarbiat Modares University, P.O. Box 14115-175, Tehran-Iran</w:t>
      </w:r>
    </w:p>
    <w:p w:rsidR="00291F5C" w:rsidRPr="002A6BA8" w:rsidRDefault="000B0782" w:rsidP="00A92DE8">
      <w:pPr>
        <w:pStyle w:val="Addresses"/>
        <w:rPr>
          <w:lang w:val="it-IT"/>
        </w:rPr>
      </w:pPr>
      <w:r w:rsidRPr="002A6BA8">
        <w:rPr>
          <w:vertAlign w:val="superscript"/>
          <w:lang w:val="it-IT"/>
        </w:rPr>
        <w:t>c</w:t>
      </w:r>
      <w:r w:rsidRPr="002A6BA8">
        <w:rPr>
          <w:lang w:val="it-IT"/>
        </w:rPr>
        <w:t xml:space="preserve"> </w:t>
      </w:r>
      <w:r w:rsidR="00422BC6" w:rsidRPr="002A6BA8">
        <w:rPr>
          <w:lang w:val="it-IT"/>
        </w:rPr>
        <w:t>Dr. F. Valduga de Almeida Camargo, Prof. G. Cerullo, Istituto di Fotonica e Nanotecnologie del CNR</w:t>
      </w:r>
      <w:r w:rsidR="00CA5661" w:rsidRPr="002A6BA8">
        <w:rPr>
          <w:lang w:val="it-IT"/>
        </w:rPr>
        <w:t>,</w:t>
      </w:r>
      <w:r w:rsidR="00422BC6" w:rsidRPr="002A6BA8">
        <w:rPr>
          <w:lang w:val="it-IT"/>
        </w:rPr>
        <w:t xml:space="preserve"> Dipartimento di Fisica, Politecnico di Milano, P.zza L. da Vinci 32</w:t>
      </w:r>
      <w:r w:rsidR="00CA5661" w:rsidRPr="002A6BA8">
        <w:rPr>
          <w:lang w:val="it-IT"/>
        </w:rPr>
        <w:t>,</w:t>
      </w:r>
      <w:r w:rsidR="00422BC6" w:rsidRPr="002A6BA8">
        <w:rPr>
          <w:lang w:val="it-IT"/>
        </w:rPr>
        <w:t xml:space="preserve"> 20133 Milano, Italy</w:t>
      </w:r>
      <w:r w:rsidR="00250F21" w:rsidRPr="002A6BA8">
        <w:rPr>
          <w:lang w:val="it-IT"/>
        </w:rPr>
        <w:br/>
      </w:r>
      <w:r w:rsidRPr="002A6BA8">
        <w:rPr>
          <w:vertAlign w:val="superscript"/>
          <w:lang w:val="it-IT"/>
        </w:rPr>
        <w:t xml:space="preserve">d </w:t>
      </w:r>
      <w:r w:rsidR="00291F5C" w:rsidRPr="002A6BA8">
        <w:rPr>
          <w:lang w:val="de-DE"/>
        </w:rPr>
        <w:t xml:space="preserve">LEPA, </w:t>
      </w:r>
      <w:r w:rsidR="00291F5C" w:rsidRPr="002A6BA8">
        <w:rPr>
          <w:lang w:val="it-IT"/>
        </w:rPr>
        <w:t>Ecole Polytechnique Fédérale Lausanne Valais Wallis, Sion CH-1951, Switzerland</w:t>
      </w:r>
    </w:p>
    <w:p w:rsidR="00F95157" w:rsidRPr="002A6BA8" w:rsidRDefault="00F95157" w:rsidP="00A92DE8">
      <w:pPr>
        <w:pStyle w:val="Addresses"/>
        <w:rPr>
          <w:lang w:val="es-ES"/>
        </w:rPr>
      </w:pPr>
      <w:r w:rsidRPr="002A6BA8">
        <w:rPr>
          <w:vertAlign w:val="superscript"/>
          <w:lang w:val="it-IT"/>
        </w:rPr>
        <w:t>e</w:t>
      </w:r>
      <w:r w:rsidRPr="002A6BA8">
        <w:rPr>
          <w:lang w:val="es-ES"/>
        </w:rPr>
        <w:t xml:space="preserve"> J. Pascual, Dr. R. Tena-Zaera, IK4-CIDETEC, Parque Tecnológico de San Sebastián, Paseo Miramón 196, Donostia-San Sebastián 20009, Spain</w:t>
      </w:r>
    </w:p>
    <w:p w:rsidR="00F95157" w:rsidRPr="002A6BA8" w:rsidRDefault="00F95157" w:rsidP="00A92DE8">
      <w:pPr>
        <w:pStyle w:val="Addresses"/>
      </w:pPr>
      <w:r w:rsidRPr="002A6BA8">
        <w:rPr>
          <w:vertAlign w:val="superscript"/>
        </w:rPr>
        <w:t>f</w:t>
      </w:r>
      <w:r w:rsidRPr="002A6BA8">
        <w:t xml:space="preserve"> J. Pascual POLYMAT, University of the Basque Country UPV/EHU</w:t>
      </w:r>
    </w:p>
    <w:p w:rsidR="002D16A0" w:rsidRPr="001576B8" w:rsidRDefault="00F95157" w:rsidP="00A92DE8">
      <w:pPr>
        <w:pStyle w:val="Addresses"/>
        <w:rPr>
          <w:lang w:val="es-ES"/>
        </w:rPr>
      </w:pPr>
      <w:r w:rsidRPr="002A6BA8">
        <w:rPr>
          <w:lang w:val="es-ES"/>
        </w:rPr>
        <w:t>Avenida de Tolosa 72, Donostia-San Sebastián 20018, Spain</w:t>
      </w:r>
      <w:r w:rsidRPr="002A6BA8">
        <w:rPr>
          <w:lang w:val="it-IT"/>
        </w:rPr>
        <w:br/>
      </w:r>
      <w:r w:rsidR="00832EEE" w:rsidRPr="002A6BA8">
        <w:rPr>
          <w:lang w:val="es-ES"/>
        </w:rPr>
        <w:br/>
      </w:r>
    </w:p>
    <w:p w:rsidR="009D592E" w:rsidRPr="002A6BA8" w:rsidRDefault="000905CB" w:rsidP="00A92DE8">
      <w:pPr>
        <w:rPr>
          <w:lang w:val="en-US"/>
        </w:rPr>
      </w:pPr>
      <w:r w:rsidRPr="002A6BA8">
        <w:rPr>
          <w:bCs/>
          <w:lang w:val="en-US"/>
        </w:rPr>
        <w:t>Hybrid Perovskite solar cells, C</w:t>
      </w:r>
      <w:r w:rsidRPr="002A6BA8">
        <w:rPr>
          <w:bCs/>
          <w:vertAlign w:val="subscript"/>
          <w:lang w:val="en-US"/>
        </w:rPr>
        <w:t>70</w:t>
      </w:r>
      <w:r w:rsidRPr="002A6BA8">
        <w:rPr>
          <w:bCs/>
          <w:lang w:val="en-US"/>
        </w:rPr>
        <w:t>:MAPbI</w:t>
      </w:r>
      <w:r w:rsidRPr="002A6BA8">
        <w:rPr>
          <w:bCs/>
          <w:vertAlign w:val="subscript"/>
          <w:lang w:val="en-US"/>
        </w:rPr>
        <w:t>3</w:t>
      </w:r>
      <w:r w:rsidRPr="002A6BA8">
        <w:rPr>
          <w:bCs/>
          <w:lang w:val="en-US"/>
        </w:rPr>
        <w:t xml:space="preserve"> interface, electron transfer, </w:t>
      </w:r>
      <w:r w:rsidR="001576B8">
        <w:rPr>
          <w:bCs/>
          <w:lang w:val="en-US"/>
        </w:rPr>
        <w:t>ETL free Perovskite solar cells</w:t>
      </w:r>
      <w:r w:rsidRPr="002A6BA8">
        <w:rPr>
          <w:bCs/>
          <w:lang w:val="en-US"/>
        </w:rPr>
        <w:t xml:space="preserve">, ultrafast dynamics. </w:t>
      </w:r>
    </w:p>
    <w:p w:rsidR="00D52C56" w:rsidRPr="002A6BA8" w:rsidRDefault="00D52C56" w:rsidP="00A92DE8">
      <w:pPr>
        <w:pStyle w:val="Abstract"/>
      </w:pPr>
    </w:p>
    <w:p w:rsidR="00D52C56" w:rsidRPr="002A6BA8" w:rsidRDefault="000E170A" w:rsidP="00A92DE8">
      <w:pPr>
        <w:pStyle w:val="Abstract"/>
      </w:pPr>
      <w:r w:rsidRPr="002A6BA8">
        <w:t>In this work</w:t>
      </w:r>
      <w:r w:rsidR="008A67F0" w:rsidRPr="002A6BA8">
        <w:t>,</w:t>
      </w:r>
      <w:r w:rsidRPr="002A6BA8">
        <w:t xml:space="preserve"> we</w:t>
      </w:r>
      <w:r w:rsidR="00E05545" w:rsidRPr="002A6BA8">
        <w:t xml:space="preserve"> realize solar cells </w:t>
      </w:r>
      <w:r w:rsidR="007937FE" w:rsidRPr="002A6BA8">
        <w:t>based on methylammonium lead iodide (MAPbI</w:t>
      </w:r>
      <w:r w:rsidR="007937FE" w:rsidRPr="002A6BA8">
        <w:rPr>
          <w:vertAlign w:val="subscript"/>
        </w:rPr>
        <w:t>3</w:t>
      </w:r>
      <w:r w:rsidR="007937FE" w:rsidRPr="002A6BA8">
        <w:t>) doped in solution with C</w:t>
      </w:r>
      <w:r w:rsidR="007937FE" w:rsidRPr="002A6BA8">
        <w:rPr>
          <w:vertAlign w:val="subscript"/>
        </w:rPr>
        <w:t>70</w:t>
      </w:r>
      <w:r w:rsidR="007937FE" w:rsidRPr="002A6BA8">
        <w:t xml:space="preserve"> fullerene </w:t>
      </w:r>
      <w:r w:rsidR="00E05545" w:rsidRPr="002A6BA8">
        <w:t>in a mesoporous as well as in a planar electron transporting layer (ETL)</w:t>
      </w:r>
      <w:r w:rsidR="007937FE" w:rsidRPr="002A6BA8">
        <w:t>-</w:t>
      </w:r>
      <w:r w:rsidR="00E05545" w:rsidRPr="002A6BA8">
        <w:t xml:space="preserve">free </w:t>
      </w:r>
      <w:r w:rsidR="00D73CFC" w:rsidRPr="002A6BA8">
        <w:t>architecture</w:t>
      </w:r>
      <w:r w:rsidR="00E05545" w:rsidRPr="002A6BA8">
        <w:t>, showcasing in the la</w:t>
      </w:r>
      <w:r w:rsidR="00E7569A" w:rsidRPr="002A6BA8">
        <w:t>tter</w:t>
      </w:r>
      <w:r w:rsidR="00E05545" w:rsidRPr="002A6BA8">
        <w:t xml:space="preserve"> case record efficiency </w:t>
      </w:r>
      <w:r w:rsidR="00447FBD" w:rsidRPr="002A6BA8">
        <w:t xml:space="preserve">of </w:t>
      </w:r>
      <w:r w:rsidR="00E05545" w:rsidRPr="002A6BA8">
        <w:t xml:space="preserve">15.7% and improved </w:t>
      </w:r>
      <w:r w:rsidR="00D73CFC" w:rsidRPr="002A6BA8">
        <w:t>open circuit voltage (</w:t>
      </w:r>
      <w:r w:rsidR="00E05545" w:rsidRPr="002A6BA8">
        <w:rPr>
          <w:i/>
        </w:rPr>
        <w:t>V</w:t>
      </w:r>
      <w:r w:rsidR="00912D6D" w:rsidRPr="002A6BA8">
        <w:rPr>
          <w:i/>
          <w:vertAlign w:val="subscript"/>
        </w:rPr>
        <w:t>OC</w:t>
      </w:r>
      <w:r w:rsidR="00D73CFC" w:rsidRPr="002A6BA8">
        <w:t>)</w:t>
      </w:r>
      <w:r w:rsidR="00E05545" w:rsidRPr="002A6BA8">
        <w:t xml:space="preserve">. Contrarily to </w:t>
      </w:r>
      <w:r w:rsidR="00D73CFC" w:rsidRPr="002A6BA8">
        <w:t xml:space="preserve">the </w:t>
      </w:r>
      <w:r w:rsidR="00E05545" w:rsidRPr="002A6BA8">
        <w:t>bulk heterojunction</w:t>
      </w:r>
      <w:r w:rsidR="00A92DE8" w:rsidRPr="002A6BA8">
        <w:t xml:space="preserve"> previously reported</w:t>
      </w:r>
      <w:r w:rsidR="00E05545" w:rsidRPr="002A6BA8">
        <w:t xml:space="preserve">, </w:t>
      </w:r>
      <w:r w:rsidR="00447FBD" w:rsidRPr="002A6BA8">
        <w:t xml:space="preserve">the </w:t>
      </w:r>
      <w:r w:rsidR="00E05545" w:rsidRPr="002A6BA8">
        <w:t>C</w:t>
      </w:r>
      <w:r w:rsidR="00E05545" w:rsidRPr="002A6BA8">
        <w:rPr>
          <w:vertAlign w:val="subscript"/>
        </w:rPr>
        <w:t>70</w:t>
      </w:r>
      <w:r w:rsidR="00E05545" w:rsidRPr="002A6BA8">
        <w:t xml:space="preserve"> molecules do not </w:t>
      </w:r>
      <w:r w:rsidR="00D73CFC" w:rsidRPr="002A6BA8">
        <w:t>phase segregate</w:t>
      </w:r>
      <w:r w:rsidR="00F95157" w:rsidRPr="002A6BA8">
        <w:t>;</w:t>
      </w:r>
      <w:r w:rsidR="00D73CFC" w:rsidRPr="002A6BA8">
        <w:t xml:space="preserve"> </w:t>
      </w:r>
      <w:r w:rsidR="00E05545" w:rsidRPr="002A6BA8">
        <w:t xml:space="preserve">rather, they </w:t>
      </w:r>
      <w:r w:rsidR="00D73CFC" w:rsidRPr="002A6BA8">
        <w:t>are finely disperse</w:t>
      </w:r>
      <w:r w:rsidR="007937FE" w:rsidRPr="002A6BA8">
        <w:t>d</w:t>
      </w:r>
      <w:r w:rsidR="00D73CFC" w:rsidRPr="002A6BA8">
        <w:t xml:space="preserve"> in the</w:t>
      </w:r>
      <w:r w:rsidR="00E05545" w:rsidRPr="002A6BA8">
        <w:t xml:space="preserve"> perovskite film</w:t>
      </w:r>
      <w:r w:rsidR="00464660" w:rsidRPr="002A6BA8">
        <w:t xml:space="preserve">, </w:t>
      </w:r>
      <w:r w:rsidR="00447FBD" w:rsidRPr="002A6BA8">
        <w:rPr>
          <w:lang w:val="de-DE"/>
        </w:rPr>
        <w:t>possibly infiltrating at the grain boundaries, while</w:t>
      </w:r>
      <w:r w:rsidR="00447FBD" w:rsidRPr="002A6BA8">
        <w:t xml:space="preserve"> </w:t>
      </w:r>
      <w:r w:rsidR="00464660" w:rsidRPr="002A6BA8">
        <w:t xml:space="preserve">assisting the growth of a highly uniform </w:t>
      </w:r>
      <w:r w:rsidR="00447FBD" w:rsidRPr="002A6BA8">
        <w:t xml:space="preserve">perovskite </w:t>
      </w:r>
      <w:r w:rsidR="00464660" w:rsidRPr="002A6BA8">
        <w:t>layer.</w:t>
      </w:r>
      <w:r w:rsidR="00E05545" w:rsidRPr="002A6BA8">
        <w:t xml:space="preserve"> By </w:t>
      </w:r>
      <w:r w:rsidR="00D73CFC" w:rsidRPr="002A6BA8">
        <w:t xml:space="preserve">means </w:t>
      </w:r>
      <w:r w:rsidR="00E05545" w:rsidRPr="002A6BA8">
        <w:t xml:space="preserve">of </w:t>
      </w:r>
      <w:r w:rsidR="00D73CFC" w:rsidRPr="002A6BA8">
        <w:t>time</w:t>
      </w:r>
      <w:r w:rsidR="00177EC6" w:rsidRPr="002A6BA8">
        <w:t>-</w:t>
      </w:r>
      <w:r w:rsidRPr="002A6BA8">
        <w:t xml:space="preserve"> resolved f</w:t>
      </w:r>
      <w:r w:rsidR="00D73CFC" w:rsidRPr="002A6BA8">
        <w:t>s-to-</w:t>
      </w:r>
      <w:r w:rsidR="00E05545" w:rsidRPr="002A6BA8">
        <w:t xml:space="preserve">ns optical spectroscopy, with </w:t>
      </w:r>
      <w:r w:rsidR="00A92DE8" w:rsidRPr="002A6BA8">
        <w:t xml:space="preserve">an extended </w:t>
      </w:r>
      <w:r w:rsidR="00E05545" w:rsidRPr="002A6BA8">
        <w:t xml:space="preserve">spectral </w:t>
      </w:r>
      <w:r w:rsidR="0041454E" w:rsidRPr="002A6BA8">
        <w:t>cove</w:t>
      </w:r>
      <w:r w:rsidR="00E05545" w:rsidRPr="002A6BA8">
        <w:t>rage, we observe</w:t>
      </w:r>
      <w:r w:rsidR="00A32A00" w:rsidRPr="002A6BA8">
        <w:t xml:space="preserve"> that </w:t>
      </w:r>
      <w:r w:rsidR="00AC2297" w:rsidRPr="002A6BA8">
        <w:t xml:space="preserve">electrons </w:t>
      </w:r>
      <w:r w:rsidR="005E63BD" w:rsidRPr="002A6BA8">
        <w:t xml:space="preserve">photogenerated </w:t>
      </w:r>
      <w:r w:rsidR="00AC2297" w:rsidRPr="002A6BA8">
        <w:t xml:space="preserve">in the perovskite </w:t>
      </w:r>
      <w:r w:rsidR="005E63BD" w:rsidRPr="002A6BA8">
        <w:t xml:space="preserve">are transferred to </w:t>
      </w:r>
      <w:r w:rsidR="005E63BD" w:rsidRPr="002A6BA8">
        <w:rPr>
          <w:lang w:val="de-DE"/>
        </w:rPr>
        <w:t>C</w:t>
      </w:r>
      <w:r w:rsidR="005E63BD" w:rsidRPr="002A6BA8">
        <w:rPr>
          <w:vertAlign w:val="subscript"/>
          <w:lang w:val="de-DE"/>
        </w:rPr>
        <w:t>70</w:t>
      </w:r>
      <w:r w:rsidR="005E63BD" w:rsidRPr="002A6BA8">
        <w:rPr>
          <w:lang w:val="de-DE"/>
        </w:rPr>
        <w:t xml:space="preserve"> </w:t>
      </w:r>
      <w:r w:rsidR="00E05545" w:rsidRPr="002A6BA8">
        <w:t>with a time constant of 20 ps</w:t>
      </w:r>
      <w:r w:rsidR="00A32A00" w:rsidRPr="002A6BA8">
        <w:t xml:space="preserve">. </w:t>
      </w:r>
      <w:r w:rsidR="005E63BD" w:rsidRPr="002A6BA8">
        <w:rPr>
          <w:lang w:val="de-DE"/>
        </w:rPr>
        <w:t xml:space="preserve">Despite </w:t>
      </w:r>
      <w:r w:rsidR="008D28E8" w:rsidRPr="002A6BA8">
        <w:rPr>
          <w:lang w:val="de-DE"/>
        </w:rPr>
        <w:t xml:space="preserve">being </w:t>
      </w:r>
      <w:r w:rsidR="005E63BD" w:rsidRPr="002A6BA8">
        <w:rPr>
          <w:lang w:val="de-DE"/>
        </w:rPr>
        <w:t>captured by C</w:t>
      </w:r>
      <w:r w:rsidR="005E63BD" w:rsidRPr="002A6BA8">
        <w:rPr>
          <w:vertAlign w:val="subscript"/>
          <w:lang w:val="de-DE"/>
        </w:rPr>
        <w:t>70</w:t>
      </w:r>
      <w:r w:rsidR="009E12ED" w:rsidRPr="002A6BA8">
        <w:rPr>
          <w:lang w:val="de-DE"/>
        </w:rPr>
        <w:t>,</w:t>
      </w:r>
      <w:r w:rsidR="005E63BD" w:rsidRPr="002A6BA8">
        <w:rPr>
          <w:lang w:val="de-DE"/>
        </w:rPr>
        <w:t xml:space="preserve"> electrons</w:t>
      </w:r>
      <w:r w:rsidR="00447FBD" w:rsidRPr="002A6BA8">
        <w:rPr>
          <w:lang w:val="de-DE"/>
        </w:rPr>
        <w:t xml:space="preserve"> are </w:t>
      </w:r>
      <w:r w:rsidR="009E12ED" w:rsidRPr="002A6BA8">
        <w:rPr>
          <w:lang w:val="de-DE"/>
        </w:rPr>
        <w:t xml:space="preserve">not deeply trapped, and can </w:t>
      </w:r>
      <w:r w:rsidR="002D6207" w:rsidRPr="002D6207">
        <w:rPr>
          <w:color w:val="FF0000"/>
          <w:lang w:val="de-DE"/>
        </w:rPr>
        <w:t xml:space="preserve">potentially </w:t>
      </w:r>
      <w:r w:rsidR="009E12ED" w:rsidRPr="002A6BA8">
        <w:rPr>
          <w:lang w:val="de-DE"/>
        </w:rPr>
        <w:t xml:space="preserve">bounce back </w:t>
      </w:r>
      <w:r w:rsidR="008E4E02" w:rsidRPr="002A6BA8">
        <w:rPr>
          <w:lang w:val="de-DE"/>
        </w:rPr>
        <w:t xml:space="preserve">into </w:t>
      </w:r>
      <w:r w:rsidR="009E12ED" w:rsidRPr="002A6BA8">
        <w:rPr>
          <w:lang w:val="de-DE"/>
        </w:rPr>
        <w:t xml:space="preserve">the perovskite, </w:t>
      </w:r>
      <w:r w:rsidR="003A66D3" w:rsidRPr="002A6BA8">
        <w:rPr>
          <w:lang w:val="de-DE"/>
        </w:rPr>
        <w:t xml:space="preserve">as </w:t>
      </w:r>
      <w:r w:rsidR="003A66D3" w:rsidRPr="002A6BA8">
        <w:rPr>
          <w:lang w:val="de-DE"/>
        </w:rPr>
        <w:lastRenderedPageBreak/>
        <w:t>suggested by</w:t>
      </w:r>
      <w:r w:rsidR="005E63BD" w:rsidRPr="002A6BA8">
        <w:rPr>
          <w:lang w:val="de-DE"/>
        </w:rPr>
        <w:t xml:space="preserve"> </w:t>
      </w:r>
      <w:r w:rsidR="009E12ED" w:rsidRPr="002A6BA8">
        <w:rPr>
          <w:lang w:val="de-DE"/>
        </w:rPr>
        <w:t xml:space="preserve">the high fill factor (FF) and </w:t>
      </w:r>
      <w:r w:rsidR="00E05545" w:rsidRPr="002A6BA8">
        <w:t xml:space="preserve">enhanced </w:t>
      </w:r>
      <w:r w:rsidR="008C506D" w:rsidRPr="002A6BA8">
        <w:rPr>
          <w:i/>
        </w:rPr>
        <w:t>V</w:t>
      </w:r>
      <w:r w:rsidR="00912D6D" w:rsidRPr="002A6BA8">
        <w:rPr>
          <w:i/>
          <w:vertAlign w:val="subscript"/>
        </w:rPr>
        <w:t>OC</w:t>
      </w:r>
      <w:r w:rsidR="00E05545" w:rsidRPr="002A6BA8">
        <w:t xml:space="preserve"> </w:t>
      </w:r>
      <w:r w:rsidR="00D73CFC" w:rsidRPr="002A6BA8">
        <w:t xml:space="preserve">of </w:t>
      </w:r>
      <w:r w:rsidRPr="002A6BA8">
        <w:t>the</w:t>
      </w:r>
      <w:r w:rsidR="009E12ED" w:rsidRPr="002A6BA8">
        <w:t xml:space="preserve"> </w:t>
      </w:r>
      <w:r w:rsidR="00E05545" w:rsidRPr="002A6BA8">
        <w:t>MAPbI</w:t>
      </w:r>
      <w:r w:rsidR="00E05545" w:rsidRPr="002A6BA8">
        <w:rPr>
          <w:vertAlign w:val="subscript"/>
        </w:rPr>
        <w:t>3</w:t>
      </w:r>
      <w:r w:rsidR="00E05545" w:rsidRPr="002A6BA8">
        <w:t>:C</w:t>
      </w:r>
      <w:r w:rsidR="00E05545" w:rsidRPr="002A6BA8">
        <w:rPr>
          <w:vertAlign w:val="subscript"/>
        </w:rPr>
        <w:t>70</w:t>
      </w:r>
      <w:r w:rsidR="00E05545" w:rsidRPr="002A6BA8">
        <w:t xml:space="preserve"> solar cells</w:t>
      </w:r>
      <w:r w:rsidR="009E12ED" w:rsidRPr="002A6BA8">
        <w:t>, especially in the case of the ETL-free device configuration</w:t>
      </w:r>
      <w:r w:rsidR="00E05545" w:rsidRPr="002A6BA8">
        <w:t>.</w:t>
      </w:r>
    </w:p>
    <w:p w:rsidR="00004A23" w:rsidRPr="002A6BA8" w:rsidRDefault="00004A23" w:rsidP="00A92DE8">
      <w:pPr>
        <w:rPr>
          <w:lang w:val="en-US"/>
        </w:rPr>
      </w:pPr>
    </w:p>
    <w:p w:rsidR="00004A23" w:rsidRPr="002A6BA8" w:rsidRDefault="00004A23" w:rsidP="00A92DE8">
      <w:pPr>
        <w:rPr>
          <w:lang w:val="en-US"/>
        </w:rPr>
      </w:pPr>
    </w:p>
    <w:p w:rsidR="00A92DE8" w:rsidRPr="002A6BA8" w:rsidRDefault="008F2F36" w:rsidP="00A92DE8">
      <w:pPr>
        <w:pStyle w:val="MainText"/>
        <w:rPr>
          <w:lang w:val="en-GB"/>
        </w:rPr>
      </w:pPr>
      <w:r w:rsidRPr="002A6BA8">
        <w:rPr>
          <w:lang w:val="en-GB"/>
        </w:rPr>
        <w:t>Over the last decade, lead halide p</w:t>
      </w:r>
      <w:r w:rsidR="00E05545" w:rsidRPr="002A6BA8">
        <w:rPr>
          <w:lang w:val="en-GB"/>
        </w:rPr>
        <w:t xml:space="preserve">erovskite solar cells have been </w:t>
      </w:r>
      <w:r w:rsidR="00CA5661" w:rsidRPr="002A6BA8">
        <w:rPr>
          <w:lang w:val="en-GB"/>
        </w:rPr>
        <w:t xml:space="preserve">promoting </w:t>
      </w:r>
      <w:r w:rsidR="00E05545" w:rsidRPr="002A6BA8">
        <w:rPr>
          <w:lang w:val="en-GB"/>
        </w:rPr>
        <w:t>a paradigm shift in the photovoltaic research</w:t>
      </w:r>
      <w:r w:rsidR="001F4A48" w:rsidRPr="002A6BA8">
        <w:rPr>
          <w:lang w:val="en-GB"/>
        </w:rPr>
        <w:t>, leading to</w:t>
      </w:r>
      <w:r w:rsidR="00E05545" w:rsidRPr="002A6BA8">
        <w:rPr>
          <w:lang w:val="en-GB"/>
        </w:rPr>
        <w:t xml:space="preserve"> </w:t>
      </w:r>
      <w:r w:rsidR="001F4A48" w:rsidRPr="002A6BA8">
        <w:rPr>
          <w:lang w:val="en-GB"/>
        </w:rPr>
        <w:t xml:space="preserve">device </w:t>
      </w:r>
      <w:r w:rsidR="00E05545" w:rsidRPr="002A6BA8">
        <w:rPr>
          <w:lang w:val="en-GB"/>
        </w:rPr>
        <w:t>efficienc</w:t>
      </w:r>
      <w:r w:rsidR="001F4A48" w:rsidRPr="002A6BA8">
        <w:rPr>
          <w:lang w:val="en-GB"/>
        </w:rPr>
        <w:t>ies</w:t>
      </w:r>
      <w:r w:rsidR="00E05545" w:rsidRPr="002A6BA8">
        <w:rPr>
          <w:lang w:val="en-GB"/>
        </w:rPr>
        <w:t xml:space="preserve"> of more than 2</w:t>
      </w:r>
      <w:r w:rsidR="002A6BA8" w:rsidRPr="002A6BA8">
        <w:rPr>
          <w:lang w:val="en-GB"/>
        </w:rPr>
        <w:t>3</w:t>
      </w:r>
      <w:r w:rsidR="00E05545" w:rsidRPr="002A6BA8">
        <w:rPr>
          <w:lang w:val="en-GB"/>
        </w:rPr>
        <w:t>%</w:t>
      </w:r>
      <w:r w:rsidR="004E541E" w:rsidRPr="002A6BA8">
        <w:rPr>
          <w:lang w:val="en-GB"/>
        </w:rPr>
        <w:fldChar w:fldCharType="begin"/>
      </w:r>
      <w:r w:rsidR="004E541E" w:rsidRPr="002A6BA8">
        <w:rPr>
          <w:lang w:val="en-GB"/>
        </w:rPr>
        <w:instrText xml:space="preserve"> ADDIN ZOTERO_ITEM CSL_CITATION {"citationID":"PEKAm1qi","properties":{"formattedCitation":"{\\rtf \\super [1\\uc0\\u8211{}4]\\nosupersub{}}","plainCitation":"[1–4]"},"citationItems":[{"id":43,"uris":["http://zotero.org/users/local/6uiBC8Ma/items/QQFBE6VA"],"uri":["http://zotero.org/users/local/6uiBC8Ma/items/QQFBE6VA"],"itemData":{"id":43,"type":"article-journal","title":"Incorporation of rubidium cations into perovskite solar cells improves photovoltaic performance","container-title":"Science","page":"206-209","volume":"354","issue":"6309","source":"science.sciencemag.org","abstract":"Improving the stability of perovskite solar cells\nInorganic-organic perovskite solar cells have poor long-term stability because ultraviolet light and humidity degrade these materials. Bella et al. show that coating the cells with a water-proof fluorinated polymer that contains pigments to absorb ultraviolet light and re-emit it in the visible range can boost cell efficiency and limit photodegradation. The performance and stability of inorganic-organic perovskite solar cells are also limited by the size of the cations required for forming a correct lattice. Saliba et al. show that the rubidium cation, which is too small to form a perovskite by itself, can form a lattice with cesium and organic cations. Solar cells based on these materials have efficiencies exceeding 20% for over 500 hours if given environmental protection by a polymer coating.\nScience, this issue pp. 203 and 206\nAll of the cations currently used in perovskite solar cells abide by the tolerance factor for incorporation into the lattice. We show that the small and oxidation-stable rubidium cation (Rb+) can be embedded into a “cation cascade” to create perovskite materials with excellent material properties. We achieved stabilized efficiencies of up to 21.6% (average value, 20.2%) on small areas (and a stabilized 19.0% on a cell 0.5 square centimeters in area) as well as an electroluminescence of 3.8%. The open-circuit voltage of 1.24 volts at a band gap of 1.63 electron volts leads to a loss in potential of 0.39 volts, versus 0.4 volts for commercial silicon cells. Polymer-coated cells maintained 95% of their initial performance at 85°C for 500 hours under full illumination and maximum power point tracking.\nThe seemingly too small rubidium cation was successfully integrated into perovskite solar cells.\nThe seemingly too small rubidium cation was successfully integrated into perovskite solar cells.","DOI":"10.1126/science.aah5557","ISSN":"0036-8075, 1095-9203","note":"PMID: 27708053","language":"en","author":[{"family":"Saliba","given":"Michael"},{"family":"Matsui","given":"Taisuke"},{"family":"Domanski","given":"Konrad"},{"family":"Seo","given":"Ji-Youn"},{"family":"Ummadisingu","given":"Amita"},{"family":"Zakeeruddin","given":"Shaik M."},{"family":"Correa-Baena","given":"Juan-Pablo"},{"family":"Tress","given":"Wolfgang R."},{"family":"Abate","given":"Antonio"},{"family":"Hagfeldt","given":"Anders"},{"family":"Grätzel","given":"Michael"}],"issued":{"date-parts":[["2016",10,14]]},"PMID":"27708053"}},{"id":484,"uris":["http://zotero.org/users/local/6uiBC8Ma/items/5APJD4DM"],"uri":["http://zotero.org/users/local/6uiBC8Ma/items/5APJD4DM"],"itemData":{"id":484,"type":"article-journal","title":"The rapid evolution of highly efficient perovskite solar cells","container-title":"Energy &amp; Environmental Science","source":"pubs.rsc.org","URL":"http://pubs.rsc.org/en/Content/ArticleLanding/2017/EE/C6EE03397K","DOI":"10.1039/C6EE03397K","language":"en","author":[{"family":"Correa-Baena","given":"Juan-Pablo"},{"family":"Abate","given":"Antonio"},{"family":"Saliba","given":"Michael"},{"family":"Tress","given":"Wolfgang"},{"family":"Jacobsson","given":"T. Jesper"},{"family":"Grätzel","given":"Michael"},{"family":"Hagfeldt","given":"Anders"}],"issued":{"date-parts":[["2017"]]},"accessed":{"date-parts":[["2017",3,8]]}}},{"id":706,"uris":["http://zotero.org/users/local/6uiBC8Ma/items/N47Z74BN"],"uri":["http://zotero.org/users/local/6uiBC8Ma/items/N47Z74BN"],"itemData":{"id":706,"type":"article-journal","title":"Iodide management in formamidinium-lead-halide–based perovskite layers for efficient solar cells","container-title":"Science","page":"1376-1379","volume":"356","issue":"6345","source":"science.sciencemag.org","abstract":"Healing defects with triiodide ions\nDeep-level defects in organic-inorganic perovskites decrease the performance of solar cells through unproductive recombination of charge carriers. Yang et al. show that introducing additional triiodide ions during the formation of layers of formamidinium lead iodide, which also contain small amounts of methylammonium lead bromide, suppresses the formation of deep-level defects. This process boosts the certified efficiency of 1-cm2 solar cells to almost 20%.\nScience, this issue p. 1376\nThe formation of a dense and uniform thin layer on the substrates is crucial for the fabrication of high-performance perovskite solar cells (PSCs) containing formamidinium with multiple cations and mixed halide anions. The concentration of defect states, which reduce a cell’s performance by decreasing the open-circuit voltage and short-circuit current density, needs to be as low as possible. We show that the introduction of additional iodide ions into the organic cation solution, which are used to form the perovskite layers through an intramolecular exchanging process, decreases the concentration of deep-level defects. The defect-engineered thin perovskite layers enable the fabrication of PSCs with a certified power conversion efficiency of 22.1% in small cells and 19.7% in 1-square-centimeter cells.\nDeep-level defect states in formamidinium lead perovskite layers can be minimized by the addition of triiodide ions.\nDeep-level defect states in formamidinium lead perovskite layers can be minimized by the addition of triiodide ions.","DOI":"10.1126/science.aan2301","ISSN":"0036-8075, 1095-9203","note":"PMID: 28663498","language":"en","author":[{"family":"Yang","given":"Woon Seok"},{"family":"Park","given":"Byung-Wook"},{"family":"Jung","given":"Eui Hyuk"},{"family":"Jeon","given":"Nam Joong"},{"family":"Kim","given":"Young Chan"},{"family":"Lee","given":"Dong Uk"},{"family":"Shin","given":"Seong Sik"},{"family":"Seo","given":"Jangwon"},{"family":"Kim","given":"Eun Kyu"},{"family":"Noh","given":"Jun Hong"},{"family":"Seok","given":"Sang Il"}],"issued":{"date-parts":[["2017",6,30]]},"PMID":"28663498"}},{"id":50,"uris":["http://zotero.org/users/local/6uiBC8Ma/items/96K4B2FU"],"uri":["http://zotero.org/users/local/6uiBC8Ma/items/96K4B2FU"],"itemData":{"id":50,"type":"book","title":"http://www.nrel.gov/ncpv/images/efficiency_chart.jpg."}}],"schema":"https://github.com/citation-style-language/schema/raw/master/csl-citation.json"} </w:instrText>
      </w:r>
      <w:r w:rsidR="004E541E" w:rsidRPr="002A6BA8">
        <w:rPr>
          <w:lang w:val="en-GB"/>
        </w:rPr>
        <w:fldChar w:fldCharType="separate"/>
      </w:r>
      <w:r w:rsidR="004E541E" w:rsidRPr="002A6BA8">
        <w:rPr>
          <w:vertAlign w:val="superscript"/>
        </w:rPr>
        <w:t>[1–4]</w:t>
      </w:r>
      <w:r w:rsidR="004E541E" w:rsidRPr="002A6BA8">
        <w:rPr>
          <w:lang w:val="en-GB"/>
        </w:rPr>
        <w:fldChar w:fldCharType="end"/>
      </w:r>
      <w:r w:rsidR="00E05545" w:rsidRPr="002A6BA8">
        <w:rPr>
          <w:lang w:val="en-GB"/>
        </w:rPr>
        <w:t xml:space="preserve">. Typical solar cells configuration consists of a multi-layered stack where the perovskite is sandwiched in between an electron </w:t>
      </w:r>
      <w:r w:rsidR="00D11E53" w:rsidRPr="002A6BA8">
        <w:rPr>
          <w:lang w:val="en-GB"/>
        </w:rPr>
        <w:t xml:space="preserve">transport layer (ETL), </w:t>
      </w:r>
      <w:r w:rsidR="00E05545" w:rsidRPr="002A6BA8">
        <w:rPr>
          <w:lang w:val="en-GB"/>
        </w:rPr>
        <w:t xml:space="preserve"> usually TiO</w:t>
      </w:r>
      <w:r w:rsidR="00E05545" w:rsidRPr="002A6BA8">
        <w:rPr>
          <w:vertAlign w:val="subscript"/>
          <w:lang w:val="en-GB"/>
        </w:rPr>
        <w:t>2</w:t>
      </w:r>
      <w:r w:rsidR="00D11E53" w:rsidRPr="002A6BA8">
        <w:rPr>
          <w:lang w:val="en-GB"/>
        </w:rPr>
        <w:t xml:space="preserve">, </w:t>
      </w:r>
      <w:r w:rsidR="00E05545" w:rsidRPr="002A6BA8">
        <w:rPr>
          <w:lang w:val="en-GB"/>
        </w:rPr>
        <w:t xml:space="preserve">and </w:t>
      </w:r>
      <w:r w:rsidR="00D11E53" w:rsidRPr="002A6BA8">
        <w:rPr>
          <w:lang w:val="en-GB"/>
        </w:rPr>
        <w:t xml:space="preserve">an </w:t>
      </w:r>
      <w:r w:rsidR="00E05545" w:rsidRPr="002A6BA8">
        <w:rPr>
          <w:lang w:val="en-GB"/>
        </w:rPr>
        <w:t>organic hole transport</w:t>
      </w:r>
      <w:r w:rsidR="00D11E53" w:rsidRPr="002A6BA8">
        <w:rPr>
          <w:lang w:val="en-GB"/>
        </w:rPr>
        <w:t>ing material (HTM)</w:t>
      </w:r>
      <w:r w:rsidR="004E541E" w:rsidRPr="002A6BA8">
        <w:rPr>
          <w:lang w:val="en-GB"/>
        </w:rPr>
        <w:fldChar w:fldCharType="begin"/>
      </w:r>
      <w:r w:rsidR="004E541E" w:rsidRPr="002A6BA8">
        <w:rPr>
          <w:lang w:val="en-GB"/>
        </w:rPr>
        <w:instrText xml:space="preserve"> ADDIN ZOTERO_ITEM CSL_CITATION {"citationID":"joi3a5lb9","properties":{"formattedCitation":"{\\rtf \\super [2,5,6]\\nosupersub{}}","plainCitation":"[2,5,6]"},"citationItems":[{"id":484,"uris":["http://zotero.org/users/local/6uiBC8Ma/items/5APJD4DM"],"uri":["http://zotero.org/users/local/6uiBC8Ma/items/5APJD4DM"],"itemData":{"id":484,"type":"article-journal","title":"The rapid evolution of highly efficient perovskite solar cells","container-title":"Energy &amp; Environmental Science","source":"pubs.rsc.org","URL":"http://pubs.rsc.org/en/Content/ArticleLanding/2017/EE/C6EE03397K","DOI":"10.1039/C6EE03397K","language":"en","author":[{"family":"Correa-Baena","given":"Juan-Pablo"},{"family":"Abate","given":"Antonio"},{"family":"Saliba","given":"Michael"},{"family":"Tress","given":"Wolfgang"},{"family":"Jacobsson","given":"T. Jesper"},{"family":"Grätzel","given":"Michael"},{"family":"Hagfeldt","given":"Anders"}],"issued":{"date-parts":[["2017"]]},"accessed":{"date-parts":[["2017",3,8]]}}},{"id":121,"uris":["http://zotero.org/users/local/6uiBC8Ma/items/QVKNQCWN"],"uri":["http://zotero.org/users/local/6uiBC8Ma/items/QVKNQCWN"],"itemData":{"id":121,"type":"article-journal","title":"Efficient Hybrid Solar Cells Based on Meso-Superstructured Organometal Halide Perovskites","container-title":"Science","page":"643-647","volume":"338","issue":"6107","source":"science.sciencemag.org","abstract":"The energy costs associated with separating tightly bound excitons (photoinduced electron-hole pairs) and extracting free charges from highly disordered low-mobility networks represent fundamental losses for many low-cost photovoltaic technologies. We report a low-cost, solution-processable solar cell, based on a highly crystalline perovskite absorber with intense visible to near-infrared absorptivity, that has a power conversion efficiency of 10.9% in a single-junction device under simulated full sunlight. This “meso-superstructured solar cell” exhibits exceptionally few fundamental energy losses; it can generate open-circuit photovoltages of more than 1.1 volts, despite the relatively narrow absorber band gap of 1.55 electron volts. The functionality arises from the use of mesoporous alumina as an inert scaffold that structures the absorber and forces electrons to reside in and be transported through the perovskite.\nMesostructured alumina acts as an insulating scaffold for the assembly of very thin films of n- and p-type semiconductors.\nMesostructured alumina acts as an insulating scaffold for the assembly of very thin films of n- and p-type semiconductors.","DOI":"10.1126/science.1228604","ISSN":"0036-8075, 1095-9203","note":"PMID: 23042296","language":"en","author":[{"family":"Lee","given":"Michael M."},{"family":"Teuscher","given":"Joël"},{"family":"Miyasaka","given":"Tsutomu"},{"family":"Murakami","given":"Takurou N."},{"family":"Snaith","given":"Henry J."}],"issued":{"date-parts":[["2012",11,2]]},"PMID":"23042296"}},{"id":373,"uris":["http://zotero.org/users/local/6uiBC8Ma/items/U9NQJECH"],"uri":["http://zotero.org/users/local/6uiBC8Ma/items/U9NQJECH"],"itemData":{"id":373,"type":"article-journal","title":"High efficiency methylammonium lead triiodide perovskite solar cells: the relevance of non-stoichiometric precursors","container-title":"Energy &amp; Environmental Science","page":"3550–3556","volume":"8","issue":"12","source":"Google Scholar","shortTitle":"High efficiency methylammonium lead triiodide perovskite solar cells","author":[{"family":"Roldan-Carmona","given":"C."},{"family":"Gratia","given":"P."},{"family":"Zimmermann","given":"I."},{"family":"Grancini","given":"G."},{"family":"Gao","given":"P."},{"family":"Graetzel","given":"Michael"},{"family":"Nazeeruddin","given":"Mohammad Khaja"}],"issued":{"date-parts":[["2015"]]}}}],"schema":"https://github.com/citation-style-language/schema/raw/master/csl-citation.json"} </w:instrText>
      </w:r>
      <w:r w:rsidR="004E541E" w:rsidRPr="002A6BA8">
        <w:rPr>
          <w:lang w:val="en-GB"/>
        </w:rPr>
        <w:fldChar w:fldCharType="separate"/>
      </w:r>
      <w:r w:rsidR="004E541E" w:rsidRPr="002A6BA8">
        <w:rPr>
          <w:vertAlign w:val="superscript"/>
        </w:rPr>
        <w:t>[2,5,6]</w:t>
      </w:r>
      <w:r w:rsidR="004E541E" w:rsidRPr="002A6BA8">
        <w:rPr>
          <w:lang w:val="en-GB"/>
        </w:rPr>
        <w:fldChar w:fldCharType="end"/>
      </w:r>
      <w:r w:rsidR="00E05545" w:rsidRPr="002A6BA8">
        <w:rPr>
          <w:lang w:val="en-GB"/>
        </w:rPr>
        <w:t xml:space="preserve">. </w:t>
      </w:r>
      <w:r w:rsidR="00CF4E40" w:rsidRPr="002A6BA8">
        <w:rPr>
          <w:lang w:eastAsia="en-GB"/>
        </w:rPr>
        <w:t>Fullerene</w:t>
      </w:r>
      <w:r w:rsidR="00CE7976" w:rsidRPr="002A6BA8">
        <w:rPr>
          <w:lang w:eastAsia="en-GB"/>
        </w:rPr>
        <w:t>s</w:t>
      </w:r>
      <w:r w:rsidR="00CF4E40" w:rsidRPr="002A6BA8">
        <w:rPr>
          <w:lang w:eastAsia="en-GB"/>
        </w:rPr>
        <w:t xml:space="preserve"> and </w:t>
      </w:r>
      <w:r w:rsidR="00CE7976" w:rsidRPr="002A6BA8">
        <w:rPr>
          <w:lang w:eastAsia="en-GB"/>
        </w:rPr>
        <w:t>their</w:t>
      </w:r>
      <w:r w:rsidR="00CF4E40" w:rsidRPr="002A6BA8">
        <w:rPr>
          <w:lang w:eastAsia="en-GB"/>
        </w:rPr>
        <w:t xml:space="preserve"> derivative</w:t>
      </w:r>
      <w:r w:rsidR="00CE7976" w:rsidRPr="002A6BA8">
        <w:rPr>
          <w:lang w:eastAsia="en-GB"/>
        </w:rPr>
        <w:t>s</w:t>
      </w:r>
      <w:r w:rsidR="00CF4E40" w:rsidRPr="002A6BA8">
        <w:rPr>
          <w:lang w:eastAsia="en-GB"/>
        </w:rPr>
        <w:t xml:space="preserve"> have </w:t>
      </w:r>
      <w:r w:rsidR="00F95157" w:rsidRPr="002A6BA8">
        <w:rPr>
          <w:lang w:eastAsia="en-GB"/>
        </w:rPr>
        <w:t xml:space="preserve">also </w:t>
      </w:r>
      <w:r w:rsidR="00CF4E40" w:rsidRPr="002A6BA8">
        <w:rPr>
          <w:lang w:eastAsia="en-GB"/>
        </w:rPr>
        <w:t xml:space="preserve">been extensively used in perovskite solar cells as efficient electron extracting layer </w:t>
      </w:r>
      <w:r w:rsidR="00CF4E40" w:rsidRPr="002A6BA8">
        <w:rPr>
          <w:lang w:eastAsia="en-GB"/>
        </w:rPr>
        <w:fldChar w:fldCharType="begin"/>
      </w:r>
      <w:r w:rsidR="00CF4E40" w:rsidRPr="002A6BA8">
        <w:rPr>
          <w:lang w:eastAsia="en-GB"/>
        </w:rPr>
        <w:instrText xml:space="preserve"> ADDIN ZOTERO_ITEM CSL_CITATION {"citationID":"Psp1W8L0","properties":{"formattedCitation":"{\\rtf \\super [7\\uc0\\u8211{}9]\\nosupersub{}}","plainCitation":"[7–9]"},"citationItems":[{"id":107,"uris":["http://zotero.org/users/local/6uiBC8Ma/items/MPPPXJKX"],"uri":["http://zotero.org/users/local/6uiBC8Ma/items/MPPPXJKX"],"itemData":{"id":107,"type":"article-journal","title":"Efficiency enhancement of perovskite solar cells through fast electron extraction: the role of graphene quantum dots","container-title":"Journal of the American Chemical Society","page":"3760-3763","volume":"136","issue":"10","source":"PubMed","abstract":"We report on a significant power conversion efficiency improvement of perovskite solar cells from 8.81% to 10.15% due to insertion of an ultrathin graphene quantum dots (GQDs) layer between perovskite and TiO2. A strong quenching of perovskite photoluminescence was observed at </w:instrText>
      </w:r>
      <w:r w:rsidR="00CF4E40" w:rsidRPr="002A6BA8">
        <w:rPr>
          <w:rFonts w:ascii="Cambria Math" w:hAnsi="Cambria Math" w:cs="Cambria Math"/>
          <w:lang w:eastAsia="en-GB"/>
        </w:rPr>
        <w:instrText>∼</w:instrText>
      </w:r>
      <w:r w:rsidR="00CF4E40" w:rsidRPr="002A6BA8">
        <w:rPr>
          <w:lang w:eastAsia="en-GB"/>
        </w:rPr>
        <w:instrText xml:space="preserve">760 nm upon the addition of the GQDs, which is pronouncedly correlated with the increase of the IPCE and the APCE of the respective cells. From the transient absorption measurements, the improved cell efficiency can be attributed to the much faster electron extraction with the presence of GQDs (90-106 ps) than without their presence (260-307 ps). This work highlights that GQDs can act as a superfast electron tunnel for optoelectronic devices.","DOI":"10.1021/ja4132246","ISSN":"1520-5126","note":"PMID: 24558950","shortTitle":"Efficiency enhancement of perovskite solar cells through fast electron extraction","journalAbbreviation":"J. Am. Chem. Soc.","language":"eng","author":[{"family":"Zhu","given":"Zonglong"},{"family":"Ma","given":"Jiani"},{"family":"Wang","given":"Zilong"},{"family":"Mu","given":"Cheng"},{"family":"Fan","given":"Zetan"},{"family":"Du","given":"Lili"},{"family":"Bai","given":"Yang"},{"family":"Fan","given":"Louzhen"},{"family":"Yan","given":"He"},{"family":"Phillips","given":"David Lee"},{"family":"Yang","given":"Shihe"}],"issued":{"date-parts":[["2014",3,12]]},"PMID":"24558950"}},{"id":743,"uris":["http://zotero.org/users/local/6uiBC8Ma/items/H3NX7XCI"],"uri":["http://zotero.org/users/local/6uiBC8Ma/items/H3NX7XCI"],"itemData":{"id":743,"type":"article-journal","title":"Beneficial Role of Reduced Graphene Oxide for Electron Extraction in Highly Efficient Perovskite Solar Cells","container-title":"ChemSusChem","page":"3040-3044","volume":"9","issue":"21","source":"Wiley Online Library","abstract":"In this work we systematically investigated the role of reduced graphene oxide (rGO) in hybrid perovskite solar cells (PSCs). By mixing rGO within the mesoporous TiO2 (m-TiO2) matrix, highly efficient solar cells with power conversion efficiency values up to 19.54 % were realized. In addition, the boosted beneficial role of rGO with and without Li-treated m-TiO2 is highlighted, improving transport and injection of photoexcited electrons. This combined system may pave the way for further development and optimization of electron transport and collection in high efficiency PSCs.","DOI":"10.1002/cssc.201601070","ISSN":"1864-564X","journalAbbreviation":"ChemSusChem","language":"en","author":[{"family":"Cho","given":"Kyung Taek"},{"family":"Grancini","given":"Giulia"},{"family":"Lee","given":"Yonghui"},{"family":"Konios","given":"Dimitrios"},{"family":"Paek","given":"Sanghyun"},{"family":"Kymakis","given":"Emmanuel"},{"family":"Nazeeruddin","given":"Mohammad Khaja"}],"issued":{"date-parts":[["2016",11,9]]}}},{"id":357,"uris":["http://zotero.org/users/local/6uiBC8Ma/items/WBCPJA4S"],"uri":["http://zotero.org/users/local/6uiBC8Ma/items/WBCPJA4S"],"itemData":{"id":357,"type":"article-journal","title":"Electron-hole diffusion lengths exceeding 1 micrometer in an organometal trihalide perovskite absorber","container-title":"Science","page":"341–344","volume":"342","issue":"6156","source":"Google Scholar","author":[{"family":"Stranks","given":"Samuel D."},{"family":"Eperon","given":"Giles E."},{"family":"Grancini","given":"Giulia"},{"family":"Menelaou","given":"Christopher"},{"family":"Alcocer","given":"Marcelo JP"},{"family":"Leijtens","given":"Tomas"},{"family":"Herz","given":"Laura M."},{"family":"Petrozza","given":"Annamaria"},{"family":"Snaith","given":"Henry J."}],"issued":{"date-parts":[["2013"]]}}}],"schema":"https://github.com/citation-style-language/schema/raw/master/csl-citation.json"} </w:instrText>
      </w:r>
      <w:r w:rsidR="00CF4E40" w:rsidRPr="002A6BA8">
        <w:rPr>
          <w:lang w:eastAsia="en-GB"/>
        </w:rPr>
        <w:fldChar w:fldCharType="separate"/>
      </w:r>
      <w:r w:rsidR="00CF4E40" w:rsidRPr="002A6BA8">
        <w:rPr>
          <w:vertAlign w:val="superscript"/>
        </w:rPr>
        <w:t>[7–9]</w:t>
      </w:r>
      <w:r w:rsidR="00CF4E40" w:rsidRPr="002A6BA8">
        <w:rPr>
          <w:lang w:eastAsia="en-GB"/>
        </w:rPr>
        <w:fldChar w:fldCharType="end"/>
      </w:r>
      <w:r w:rsidR="00F37AAA" w:rsidRPr="002A6BA8">
        <w:rPr>
          <w:lang w:eastAsia="en-GB"/>
        </w:rPr>
        <w:t>,</w:t>
      </w:r>
      <w:r w:rsidR="009648A5" w:rsidRPr="002A6BA8">
        <w:rPr>
          <w:lang w:eastAsia="en-GB"/>
        </w:rPr>
        <w:t xml:space="preserve"> </w:t>
      </w:r>
      <w:r w:rsidR="008D68C8" w:rsidRPr="002A6BA8">
        <w:rPr>
          <w:lang w:val="en-GB"/>
        </w:rPr>
        <w:t>however</w:t>
      </w:r>
      <w:r w:rsidR="009648A5" w:rsidRPr="002A6BA8">
        <w:rPr>
          <w:lang w:val="en-GB"/>
        </w:rPr>
        <w:t xml:space="preserve"> the fullerene/perovskite interaction is still subject of ongoing research </w:t>
      </w:r>
      <w:r w:rsidR="009648A5" w:rsidRPr="002A6BA8">
        <w:rPr>
          <w:lang w:val="en-GB"/>
        </w:rPr>
        <w:fldChar w:fldCharType="begin"/>
      </w:r>
      <w:r w:rsidR="00F36EDB" w:rsidRPr="002A6BA8">
        <w:rPr>
          <w:lang w:val="en-GB"/>
        </w:rPr>
        <w:instrText xml:space="preserve"> ADDIN ZOTERO_ITEM CSL_CITATION {"citationID":"ggrogopos","properties":{"formattedCitation":"{\\rtf \\super [10,11]\\nosupersub{}}","plainCitation":"[10,11]"},"citationItems":[{"id":738,"uris":["http://zotero.org/users/local/6uiBC8Ma/items/EVQQHGXC"],"uri":["http://zotero.org/users/local/6uiBC8Ma/items/EVQQHGXC"],"itemData":{"id":738,"type":"article-journal","title":"Mechanistic Insight into the Attachment of Fullerene Derivatives on Crystal Faces of Methylammonium Lead Iodide Based Perovskites","container-title":"The Journal of Physical Chemistry C","page":"22426-22432","volume":"120","issue":"39","source":"ACS Publications","abstract":"Recent studies suggest that electron transport layers (ETLs) comprising [6,6]-phenyl-C61-butyric acid methyl ester (PCBM), employed in planar perovskite solar cells, reduce hysteresis by passivating the deep trap states, thereby underscoring the importance of interfacial structures. To gain physical insights into the PCBM–perovskite interfaces during solution processing, we performed molecular dynamics simulations of PCBMs solvated in chlorobenzene near (110) and (100) perovskite surfaces. Our results indicate strong orientational preferences of deposited PCBMs with the strongest associations between the carbonyl oxygen atom of PCBM and the terminating Pb and H atoms of (110) and (100) faces of perovskite, respectively. The phenyl moiety shows weak associations with the (100) perovskite surface enabling two-pronged anchoring that might facilitate charge transfer. In-plane ordering of PCBMs on perovskite surfaces indicates that a more densely packed monolayer is formed on the (110) surface compared to that on the (100) surface and might lead to more efficient electron transport.","DOI":"10.1021/acs.jpcc.6b07200","ISSN":"1932-7447","journalAbbreviation":"J. Phys. Chem. C","author":[{"family":"Taufique","given":"M. F. N."},{"family":"Mortuza","given":"S. M."},{"family":"Banerjee","given":"Soumik"}],"issued":{"date-parts":[["2016",10,6]]}}},{"id":304,"uris":["http://zotero.org/users/local/6uiBC8Ma/items/CKMPCM8Q"],"uri":["http://zotero.org/users/local/6uiBC8Ma/items/CKMPCM8Q"],"itemData":{"id":304,"type":"article-journal","title":"Influence of surface termination on the energy level alignment at the CH3NH3PbI3 perovskite/C60 interface","container-title":"Chemistry of Materials","source":"ACS Publications","abstract":"The impressive photovoltaic performance of hybrid iodide CH3NH3PbI3 perovskites relies, among other factors, on the optimal alignment of the electronic energy levels of the semiconductor with respect to conventional hole transporting (HTM) and electron transporting (ETM) materials. Here, we first report on DFT electronic structure calculations of slab models of the (001) surface aiming to assess how the perovskite valence and conduction band edge (VBE and CBE) energies depend on the nature of the surface exposed to vacuum. We find that the surface termination plays a critical role in determining the energies of the frontier crystal orbitals, with PbI terminated surface showing VBE and CBE energy ~1eV below the corresponding levels in the methylamonium-terminated surfaces. We next build perovskite/C60 interfaces based on two such surfaces and discuss the associated electronic structure in light of recent experimental data. The two interfaces are rather inert showing limited band bending/shifts with respect to the isolated components, in line with photoelectron spectroscopy data. They, however, yield very different electron extraction energies, possibly explaining the different behaviors reported in the literature.","URL":"http://dx.doi.org/10.1021/acs.chemmater.6b03259","DOI":"10.1021/acs.chemmater.6b03259","ISSN":"0897-4756","journalAbbreviation":"Chem. Mater.","author":[{"family":"Quarti","given":"Claudio"},{"family":"De Angelis","given":"Filippo"},{"family":"Beljonne","given":"David"}],"issued":{"date-parts":[["2017",1,17]]},"accessed":{"date-parts":[["2017",1,27]]}}}],"schema":"https://github.com/citation-style-language/schema/raw/master/csl-citation.json"} </w:instrText>
      </w:r>
      <w:r w:rsidR="009648A5" w:rsidRPr="002A6BA8">
        <w:rPr>
          <w:lang w:val="en-GB"/>
        </w:rPr>
        <w:fldChar w:fldCharType="separate"/>
      </w:r>
      <w:r w:rsidR="00F36EDB" w:rsidRPr="002A6BA8">
        <w:rPr>
          <w:vertAlign w:val="superscript"/>
        </w:rPr>
        <w:t>[10,11]</w:t>
      </w:r>
      <w:r w:rsidR="009648A5" w:rsidRPr="002A6BA8">
        <w:rPr>
          <w:lang w:val="en-GB"/>
        </w:rPr>
        <w:fldChar w:fldCharType="end"/>
      </w:r>
      <w:r w:rsidR="00F37AAA" w:rsidRPr="002A6BA8">
        <w:rPr>
          <w:lang w:val="en-GB"/>
        </w:rPr>
        <w:t>.</w:t>
      </w:r>
      <w:r w:rsidR="009648A5" w:rsidRPr="002A6BA8">
        <w:rPr>
          <w:lang w:val="en-GB"/>
        </w:rPr>
        <w:t xml:space="preserve"> </w:t>
      </w:r>
      <w:r w:rsidR="00F37AAA" w:rsidRPr="002A6BA8">
        <w:rPr>
          <w:lang w:val="en-GB"/>
        </w:rPr>
        <w:t>Fullerenes</w:t>
      </w:r>
      <w:r w:rsidR="00AF1EEE" w:rsidRPr="002A6BA8">
        <w:rPr>
          <w:lang w:val="en-GB"/>
        </w:rPr>
        <w:t xml:space="preserve"> </w:t>
      </w:r>
      <w:r w:rsidR="009648A5" w:rsidRPr="002A6BA8">
        <w:rPr>
          <w:lang w:val="en-GB"/>
        </w:rPr>
        <w:t xml:space="preserve">have been shown to effectively passivate </w:t>
      </w:r>
      <w:r w:rsidR="00F36EDB" w:rsidRPr="002A6BA8">
        <w:rPr>
          <w:lang w:val="en-GB"/>
        </w:rPr>
        <w:t>the</w:t>
      </w:r>
      <w:r w:rsidR="009648A5" w:rsidRPr="002A6BA8">
        <w:rPr>
          <w:lang w:val="en-GB"/>
        </w:rPr>
        <w:t xml:space="preserve"> mid-gap charge trap states </w:t>
      </w:r>
      <w:r w:rsidR="00F16BC8" w:rsidRPr="002A6BA8">
        <w:rPr>
          <w:lang w:val="en-GB"/>
        </w:rPr>
        <w:t xml:space="preserve">in state-of-the art </w:t>
      </w:r>
      <w:r w:rsidR="009648A5" w:rsidRPr="002A6BA8">
        <w:rPr>
          <w:lang w:val="en-GB"/>
        </w:rPr>
        <w:t>MAPbI</w:t>
      </w:r>
      <w:r w:rsidR="009648A5" w:rsidRPr="002A6BA8">
        <w:rPr>
          <w:vertAlign w:val="subscript"/>
          <w:lang w:val="en-GB"/>
        </w:rPr>
        <w:t>3</w:t>
      </w:r>
      <w:r w:rsidR="009648A5" w:rsidRPr="002A6BA8">
        <w:rPr>
          <w:lang w:val="en-GB"/>
        </w:rPr>
        <w:t xml:space="preserve"> </w:t>
      </w:r>
      <w:r w:rsidR="00F16BC8" w:rsidRPr="002A6BA8">
        <w:rPr>
          <w:lang w:val="en-GB"/>
        </w:rPr>
        <w:t xml:space="preserve">solar cells, at both perovskite </w:t>
      </w:r>
      <w:r w:rsidR="009648A5" w:rsidRPr="002A6BA8">
        <w:rPr>
          <w:lang w:val="en-GB"/>
        </w:rPr>
        <w:t xml:space="preserve">film surfaces and grain boundaries, </w:t>
      </w:r>
      <w:r w:rsidR="008E5A57" w:rsidRPr="002A6BA8">
        <w:rPr>
          <w:lang w:val="en-GB"/>
        </w:rPr>
        <w:t xml:space="preserve">partially </w:t>
      </w:r>
      <w:r w:rsidR="009648A5" w:rsidRPr="002A6BA8">
        <w:rPr>
          <w:lang w:val="en-GB"/>
        </w:rPr>
        <w:t>infiltrating into the bulk</w:t>
      </w:r>
      <w:r w:rsidR="00F36EDB" w:rsidRPr="002A6BA8">
        <w:rPr>
          <w:lang w:val="en-GB"/>
        </w:rPr>
        <w:t>.</w:t>
      </w:r>
      <w:r w:rsidR="009648A5" w:rsidRPr="002A6BA8">
        <w:rPr>
          <w:lang w:val="en-GB"/>
        </w:rPr>
        <w:t xml:space="preserve"> </w:t>
      </w:r>
      <w:r w:rsidR="009648A5" w:rsidRPr="002A6BA8">
        <w:rPr>
          <w:lang w:val="en-GB"/>
        </w:rPr>
        <w:fldChar w:fldCharType="begin"/>
      </w:r>
      <w:r w:rsidR="00F36EDB" w:rsidRPr="002A6BA8">
        <w:rPr>
          <w:lang w:val="en-GB"/>
        </w:rPr>
        <w:instrText xml:space="preserve"> ADDIN ZOTERO_ITEM CSL_CITATION {"citationID":"t2slUPPS","properties":{"formattedCitation":"{\\rtf \\super [12,13]\\nosupersub{}}","plainCitation":"[12,13]"},"citationItems":[{"id":748,"uris":["http://zotero.org/users/local/6uiBC8Ma/items/R74ZAVTK"],"uri":["http://zotero.org/users/local/6uiBC8Ma/items/R74ZAVTK"],"itemData":{"id":748,"type":"article-journal","title":"Origin and elimination of photocurrent hysteresis by fullerene passivation in CH&lt;sub&gt;3&lt;/sub&gt;NH&lt;sub&gt;3&lt;/sub&gt;PbI&lt;sub&gt;3&lt;/sub&gt; planar heterojunction solar cells","container-title":"Nature Communications","page":"ncomms6784","volume":"5","source":"www.nature.com","abstract":"&lt;p&gt;\nDespite recent improvements in the efficiency of perovskite solar cells, the occurrence of photocurrent hysteresis can limit their performance. Shao &lt;i&gt;et al.&lt;/i&gt; identify surface and grain boundary charge trap states as a major cause of hysteresis in these materials and&amp;hellip;&lt;/p&gt;","DOI":"10.1038/ncomms6784","ISSN":"2041-1723","language":"en","author":[{"family":"Shao","given":"Yuchuan"},{"family":"Xiao","given":"Zhengguo"},{"family":"Bi","given":"Cheng"},{"family":"Yuan","given":"Yongbo"},{"family":"Huang","given":"Jinsong"}],"issued":{"date-parts":[["2014",12,15]]}}},{"id":299,"uris":["http://zotero.org/users/local/6uiBC8Ma/items/68PCJF36"],"uri":["http://zotero.org/users/local/6uiBC8Ma/items/68PCJF36"],"itemData":{"id":299,"type":"article-journal","title":"Perovskite–fullerene hybrid materials suppress hysteresis in planar diodes","container-title":"Nature Communications","page":"7081","volume":"6","source":"www.nature.com","abstract":"Metal halide perovskites are promising for solar energy harvesting, but currently prone to a large hysteresis and current instability. Here, Xu et al. show improvements in a hybrid material in which the fullerene is distributed at perovskite grain boundaries and thus passivates defects effectively.","DOI":"10.1038/ncomms8081","ISSN":"2041-1723","language":"en","author":[{"family":"Xu","given":"Jixian"},{"family":"Buin","given":"Andrei"},{"family":"Ip","given":"Alexander H."},{"family":"Li","given":"Wei"},{"family":"Voznyy","given":"Oleksandr"},{"family":"Comin","given":"Riccardo"},{"family":"Yuan","given":"Mingjian"},{"family":"Jeon","given":"Seokmin"},{"family":"Ning","given":"Zhijun"},{"family":"McDowell","given":"Jeffrey J."},{"family":"Kanjanaboos","given":"Pongsakorn"},{"family":"Sun","given":"Jon-Paul"},{"family":"Lan","given":"Xinzheng"},{"family":"Quan","given":"Li Na"},{"family":"Kim","given":"Dong Ha"},{"family":"Hill","given":"Ian G."},{"family":"Maksymovych","given":"Peter"},{"family":"Sargent","given":"Edward H."}],"issued":{"date-parts":[["2015",5,8]]}}}],"schema":"https://github.com/citation-style-language/schema/raw/master/csl-citation.json"} </w:instrText>
      </w:r>
      <w:r w:rsidR="009648A5" w:rsidRPr="002A6BA8">
        <w:rPr>
          <w:lang w:val="en-GB"/>
        </w:rPr>
        <w:fldChar w:fldCharType="separate"/>
      </w:r>
      <w:r w:rsidR="00F36EDB" w:rsidRPr="002A6BA8">
        <w:rPr>
          <w:vertAlign w:val="superscript"/>
        </w:rPr>
        <w:t>[12,13]</w:t>
      </w:r>
      <w:r w:rsidR="009648A5" w:rsidRPr="002A6BA8">
        <w:rPr>
          <w:lang w:val="en-GB"/>
        </w:rPr>
        <w:fldChar w:fldCharType="end"/>
      </w:r>
      <w:r w:rsidR="00F36EDB" w:rsidRPr="002A6BA8">
        <w:rPr>
          <w:lang w:val="en-GB"/>
        </w:rPr>
        <w:t xml:space="preserve"> This </w:t>
      </w:r>
      <w:r w:rsidR="00AF1EEE" w:rsidRPr="002A6BA8">
        <w:rPr>
          <w:lang w:val="en-GB"/>
        </w:rPr>
        <w:t xml:space="preserve">resulted </w:t>
      </w:r>
      <w:r w:rsidR="00F36EDB" w:rsidRPr="002A6BA8">
        <w:rPr>
          <w:lang w:val="en-GB"/>
        </w:rPr>
        <w:t>in multiple beneficial actions such as reduc</w:t>
      </w:r>
      <w:r w:rsidR="00846E05" w:rsidRPr="002A6BA8">
        <w:rPr>
          <w:lang w:val="en-GB"/>
        </w:rPr>
        <w:t>ing</w:t>
      </w:r>
      <w:r w:rsidR="00F36EDB" w:rsidRPr="002A6BA8">
        <w:rPr>
          <w:lang w:val="en-GB"/>
        </w:rPr>
        <w:t xml:space="preserve"> device hysteresis, </w:t>
      </w:r>
      <w:r w:rsidR="00F36EDB" w:rsidRPr="002A6BA8">
        <w:rPr>
          <w:lang w:val="en-GB"/>
        </w:rPr>
        <w:fldChar w:fldCharType="begin"/>
      </w:r>
      <w:r w:rsidR="00F36EDB" w:rsidRPr="002A6BA8">
        <w:rPr>
          <w:lang w:val="en-GB"/>
        </w:rPr>
        <w:instrText xml:space="preserve"> ADDIN ZOTERO_ITEM CSL_CITATION {"citationID":"9jb3rkjgl","properties":{"formattedCitation":"{\\rtf \\super [12,13]\\nosupersub{}}","plainCitation":"[12,13]"},"citationItems":[{"id":299,"uris":["http://zotero.org/users/local/6uiBC8Ma/items/68PCJF36"],"uri":["http://zotero.org/users/local/6uiBC8Ma/items/68PCJF36"],"itemData":{"id":299,"type":"article-journal","title":"Perovskite–fullerene hybrid materials suppress hysteresis in planar diodes","container-title":"Nature Communications","page":"7081","volume":"6","source":"www.nature.com","abstract":"Metal halide perovskites are promising for solar energy harvesting, but currently prone to a large hysteresis and current instability. Here, Xu et al. show improvements in a hybrid material in which the fullerene is distributed at perovskite grain boundaries and thus passivates defects effectively.","DOI":"10.1038/ncomms8081","ISSN":"2041-1723","language":"en","author":[{"family":"Xu","given":"Jixian"},{"family":"Buin","given":"Andrei"},{"family":"Ip","given":"Alexander H."},{"family":"Li","given":"Wei"},{"family":"Voznyy","given":"Oleksandr"},{"family":"Comin","given":"Riccardo"},{"family":"Yuan","given":"Mingjian"},{"family":"Jeon","given":"Seokmin"},{"family":"Ning","given":"Zhijun"},{"family":"McDowell","given":"Jeffrey J."},{"family":"Kanjanaboos","given":"Pongsakorn"},{"family":"Sun","given":"Jon-Paul"},{"family":"Lan","given":"Xinzheng"},{"family":"Quan","given":"Li Na"},{"family":"Kim","given":"Dong Ha"},{"family":"Hill","given":"Ian G."},{"family":"Maksymovych","given":"Peter"},{"family":"Sargent","given":"Edward H."}],"issued":{"date-parts":[["2015",5,8]]}}},{"id":748,"uris":["http://zotero.org/users/local/6uiBC8Ma/items/R74ZAVTK"],"uri":["http://zotero.org/users/local/6uiBC8Ma/items/R74ZAVTK"],"itemData":{"id":748,"type":"article-journal","title":"Origin and elimination of photocurrent hysteresis by fullerene passivation in CH&lt;sub&gt;3&lt;/sub&gt;NH&lt;sub&gt;3&lt;/sub&gt;PbI&lt;sub&gt;3&lt;/sub&gt; planar heterojunction solar cells","container-title":"Nature Communications","page":"ncomms6784","volume":"5","source":"www.nature.com","abstract":"&lt;p&gt;\nDespite recent improvements in the efficiency of perovskite solar cells, the occurrence of photocurrent hysteresis can limit their performance. Shao &lt;i&gt;et al.&lt;/i&gt; identify surface and grain boundary charge trap states as a major cause of hysteresis in these materials and&amp;hellip;&lt;/p&gt;","DOI":"10.1038/ncomms6784","ISSN":"2041-1723","language":"en","author":[{"family":"Shao","given":"Yuchuan"},{"family":"Xiao","given":"Zhengguo"},{"family":"Bi","given":"Cheng"},{"family":"Yuan","given":"Yongbo"},{"family":"Huang","given":"Jinsong"}],"issued":{"date-parts":[["2014",12,15]]}}}],"schema":"https://github.com/citation-style-language/schema/raw/master/csl-citation.json"} </w:instrText>
      </w:r>
      <w:r w:rsidR="00F36EDB" w:rsidRPr="002A6BA8">
        <w:rPr>
          <w:lang w:val="en-GB"/>
        </w:rPr>
        <w:fldChar w:fldCharType="separate"/>
      </w:r>
      <w:r w:rsidR="00F36EDB" w:rsidRPr="002A6BA8">
        <w:rPr>
          <w:vertAlign w:val="superscript"/>
        </w:rPr>
        <w:t>[12,13]</w:t>
      </w:r>
      <w:r w:rsidR="00F36EDB" w:rsidRPr="002A6BA8">
        <w:rPr>
          <w:lang w:val="en-GB"/>
        </w:rPr>
        <w:fldChar w:fldCharType="end"/>
      </w:r>
      <w:r w:rsidR="00F36EDB" w:rsidRPr="002A6BA8">
        <w:rPr>
          <w:lang w:val="en-GB"/>
        </w:rPr>
        <w:t xml:space="preserve">  blocking </w:t>
      </w:r>
      <w:r w:rsidR="00CF4E40" w:rsidRPr="002A6BA8">
        <w:rPr>
          <w:lang w:eastAsia="en-GB"/>
        </w:rPr>
        <w:t xml:space="preserve">ion migration along the </w:t>
      </w:r>
      <w:r w:rsidR="00F36EDB" w:rsidRPr="002A6BA8">
        <w:rPr>
          <w:lang w:eastAsia="en-GB"/>
        </w:rPr>
        <w:t xml:space="preserve">perovskite </w:t>
      </w:r>
      <w:r w:rsidR="00CF4E40" w:rsidRPr="002A6BA8">
        <w:rPr>
          <w:lang w:eastAsia="en-GB"/>
        </w:rPr>
        <w:t>grain boundaries</w:t>
      </w:r>
      <w:r w:rsidR="00F36EDB" w:rsidRPr="002A6BA8">
        <w:rPr>
          <w:lang w:eastAsia="en-GB"/>
        </w:rPr>
        <w:t xml:space="preserve"> </w:t>
      </w:r>
      <w:r w:rsidR="00846E05" w:rsidRPr="002A6BA8">
        <w:rPr>
          <w:lang w:eastAsia="en-GB"/>
        </w:rPr>
        <w:fldChar w:fldCharType="begin"/>
      </w:r>
      <w:r w:rsidR="00846E05" w:rsidRPr="002A6BA8">
        <w:rPr>
          <w:lang w:eastAsia="en-GB"/>
        </w:rPr>
        <w:instrText xml:space="preserve"> ADDIN ZOTERO_ITEM CSL_CITATION {"citationID":"150rv0a9g4","properties":{"formattedCitation":"{\\rtf \\super [13,14]\\nosupersub{}}","plainCitation":"[13,14]"},"citationItems":[{"id":750,"uris":["http://zotero.org/users/local/6uiBC8Ma/items/I5WU6Z6X"],"uri":["http://zotero.org/users/local/6uiBC8Ma/items/I5WU6Z6X"],"itemData":{"id":750,"type":"article-journal","title":"The Functions of Fullerenes in Hybrid Perovskite Solar Cells","container-title":"ACS Energy Letters","page":"782-794","volume":"2","issue":"4","source":"ACS Publications","abstract":"There is increasing interest in the application of fullerene-based carbon materials in perovskite solar cells for increased efficiency, reduced hysteresis, and improved stability. This Perspective summarizes the progress in the understanding of the function of fullerenes in perovskite solar cells in blocking leakage through pin-holes, passivating the defects at the perovskite film surfaces and grain boundaries, and modulating the open-circuit voltage of the devices. We also critically reviewed several open questions on the functions of fullerenes in perovskite solar cells based mainly on recent progress: How do fullerenes reduce current hysteresis? What is the function of double-fullerene layers? Does the doping of the fullerene by perovskite contribute to eliminating the photocurrent hysteresis at room temperature? Why do some perovskite/fullerene solar cells still have hysteresis at low temperature? Are perovskite solar cells with fullerenes in the intergranular boundaries bulk heterojunction solar cells? Finally, the impact of the fullerene on perovskite solar cell stability is discussed.","DOI":"10.1021/acsenergylett.6b00657","journalAbbreviation":"ACS Energy Lett.","author":[{"family":"Fang","given":"Yanjun"},{"family":"Bi","given":"Cheng"},{"family":"Wang","given":"Dong"},{"family":"Huang","given":"Jinsong"}],"issued":{"date-parts":[["2017",4,14]]}}},{"id":299,"uris":["http://zotero.org/users/local/6uiBC8Ma/items/68PCJF36"],"uri":["http://zotero.org/users/local/6uiBC8Ma/items/68PCJF36"],"itemData":{"id":299,"type":"article-journal","title":"Perovskite–fullerene hybrid materials suppress hysteresis in planar diodes","container-title":"Nature Communications","page":"7081","volume":"6","source":"www.nature.com","abstract":"Metal halide perovskites are promising for solar energy harvesting, but currently prone to a large hysteresis and current instability. Here, Xu et al. show improvements in a hybrid material in which the fullerene is distributed at perovskite grain boundaries and thus passivates defects effectively.","DOI":"10.1038/ncomms8081","ISSN":"2041-1723","language":"en","author":[{"family":"Xu","given":"Jixian"},{"family":"Buin","given":"Andrei"},{"family":"Ip","given":"Alexander H."},{"family":"Li","given":"Wei"},{"family":"Voznyy","given":"Oleksandr"},{"family":"Comin","given":"Riccardo"},{"family":"Yuan","given":"Mingjian"},{"family":"Jeon","given":"Seokmin"},{"family":"Ning","given":"Zhijun"},{"family":"McDowell","given":"Jeffrey J."},{"family":"Kanjanaboos","given":"Pongsakorn"},{"family":"Sun","given":"Jon-Paul"},{"family":"Lan","given":"Xinzheng"},{"family":"Quan","given":"Li Na"},{"family":"Kim","given":"Dong Ha"},{"family":"Hill","given":"Ian G."},{"family":"Maksymovych","given":"Peter"},{"family":"Sargent","given":"Edward H."}],"issued":{"date-parts":[["2015",5,8]]}}}],"schema":"https://github.com/citation-style-language/schema/raw/master/csl-citation.json"} </w:instrText>
      </w:r>
      <w:r w:rsidR="00846E05" w:rsidRPr="002A6BA8">
        <w:rPr>
          <w:lang w:eastAsia="en-GB"/>
        </w:rPr>
        <w:fldChar w:fldCharType="separate"/>
      </w:r>
      <w:r w:rsidR="00846E05" w:rsidRPr="002A6BA8">
        <w:rPr>
          <w:vertAlign w:val="superscript"/>
        </w:rPr>
        <w:t>[13,14]</w:t>
      </w:r>
      <w:r w:rsidR="00846E05" w:rsidRPr="002A6BA8">
        <w:rPr>
          <w:lang w:eastAsia="en-GB"/>
        </w:rPr>
        <w:fldChar w:fldCharType="end"/>
      </w:r>
      <w:r w:rsidR="00846E05" w:rsidRPr="002A6BA8">
        <w:rPr>
          <w:lang w:eastAsia="en-GB"/>
        </w:rPr>
        <w:t xml:space="preserve"> </w:t>
      </w:r>
      <w:r w:rsidR="00F36EDB" w:rsidRPr="002A6BA8">
        <w:rPr>
          <w:lang w:eastAsia="en-GB"/>
        </w:rPr>
        <w:t xml:space="preserve">as well as </w:t>
      </w:r>
      <w:r w:rsidR="00D930ED" w:rsidRPr="002A6BA8">
        <w:rPr>
          <w:lang w:eastAsia="en-GB"/>
        </w:rPr>
        <w:t>limiting</w:t>
      </w:r>
      <w:r w:rsidR="00CF4E40" w:rsidRPr="002A6BA8">
        <w:rPr>
          <w:lang w:eastAsia="en-GB"/>
        </w:rPr>
        <w:t xml:space="preserve"> the </w:t>
      </w:r>
      <w:r w:rsidR="00F36EDB" w:rsidRPr="002A6BA8">
        <w:rPr>
          <w:lang w:eastAsia="en-GB"/>
        </w:rPr>
        <w:t xml:space="preserve">interfacial </w:t>
      </w:r>
      <w:r w:rsidR="00CF4E40" w:rsidRPr="002A6BA8">
        <w:rPr>
          <w:lang w:eastAsia="en-GB"/>
        </w:rPr>
        <w:t>charge accumulation effect</w:t>
      </w:r>
      <w:r w:rsidR="00846E05" w:rsidRPr="002A6BA8">
        <w:rPr>
          <w:lang w:eastAsia="en-GB"/>
        </w:rPr>
        <w:t xml:space="preserve"> </w:t>
      </w:r>
      <w:r w:rsidR="00846E05" w:rsidRPr="002A6BA8">
        <w:rPr>
          <w:lang w:eastAsia="en-GB"/>
        </w:rPr>
        <w:fldChar w:fldCharType="begin"/>
      </w:r>
      <w:r w:rsidR="00846E05" w:rsidRPr="002A6BA8">
        <w:rPr>
          <w:lang w:eastAsia="en-GB"/>
        </w:rPr>
        <w:instrText xml:space="preserve"> ADDIN ZOTERO_ITEM CSL_CITATION {"citationID":"2j2mjns5mq","properties":{"formattedCitation":"{\\rtf \\super [14,15]\\nosupersub{}}","plainCitation":"[14,15]"},"citationItems":[{"id":753,"uris":["http://zotero.org/users/local/6uiBC8Ma/items/4PIZAKUB"],"uri":["http://zotero.org/users/local/6uiBC8Ma/items/4PIZAKUB"],"itemData":{"id":753,"type":"article-journal","title":"Efficient, high yield perovskite photovoltaic devices grown by interdiffusion of solution-processed precursor stacking layers","container-title":"Energy &amp; Environmental Science","page":"2619-2623","volume":"7","issue":"8","source":"pubs.rsc.org","DOI":"10.1039/C4EE01138D","language":"en","author":[{"family":"Xiao","given":"Zhengguo"},{"family":"Bi","given":"Cheng"},{"family":"Shao","given":"Yuchuan"},{"family":"Dong","given":"Qingfeng"},{"family":"Wang","given":"Qi"},{"family":"Yuan","given":"Yongbo"},{"family":"Wang","given":"Chenggong"},{"family":"Gao","given":"Yongli"},{"family":"Huang","given":"Jinsong"}],"issued":{"date-parts":[["2014"]]}}},{"id":750,"uris":["http://zotero.org/users/local/6uiBC8Ma/items/I5WU6Z6X"],"uri":["http://zotero.org/users/local/6uiBC8Ma/items/I5WU6Z6X"],"itemData":{"id":750,"type":"article-journal","title":"The Functions of Fullerenes in Hybrid Perovskite Solar Cells","container-title":"ACS Energy Letters","page":"782-794","volume":"2","issue":"4","source":"ACS Publications","abstract":"There is increasing interest in the application of fullerene-based carbon materials in perovskite solar cells for increased efficiency, reduced hysteresis, and improved stability. This Perspective summarizes the progress in the understanding of the function of fullerenes in perovskite solar cells in blocking leakage through pin-holes, passivating the defects at the perovskite film surfaces and grain boundaries, and modulating the open-circuit voltage of the devices. We also critically reviewed several open questions on the functions of fullerenes in perovskite solar cells based mainly on recent progress: How do fullerenes reduce current hysteresis? What is the function of double-fullerene layers? Does the doping of the fullerene by perovskite contribute to eliminating the photocurrent hysteresis at room temperature? Why do some perovskite/fullerene solar cells still have hysteresis at low temperature? Are perovskite solar cells with fullerenes in the intergranular boundaries bulk heterojunction solar cells? Finally, the impact of the fullerene on perovskite solar cell stability is discussed.","DOI":"10.1021/acsenergylett.6b00657","journalAbbreviation":"ACS Energy Lett.","author":[{"family":"Fang","given":"Yanjun"},{"family":"Bi","given":"Cheng"},{"family":"Wang","given":"Dong"},{"family":"Huang","given":"Jinsong"}],"issued":{"date-parts":[["2017",4,14]]}}}],"schema":"https://github.com/citation-style-language/schema/raw/master/csl-citation.json"} </w:instrText>
      </w:r>
      <w:r w:rsidR="00846E05" w:rsidRPr="002A6BA8">
        <w:rPr>
          <w:lang w:eastAsia="en-GB"/>
        </w:rPr>
        <w:fldChar w:fldCharType="separate"/>
      </w:r>
      <w:r w:rsidR="00846E05" w:rsidRPr="002A6BA8">
        <w:rPr>
          <w:vertAlign w:val="superscript"/>
        </w:rPr>
        <w:t>[14,15]</w:t>
      </w:r>
      <w:r w:rsidR="00846E05" w:rsidRPr="002A6BA8">
        <w:rPr>
          <w:lang w:eastAsia="en-GB"/>
        </w:rPr>
        <w:fldChar w:fldCharType="end"/>
      </w:r>
      <w:r w:rsidR="00846E05" w:rsidRPr="002A6BA8">
        <w:rPr>
          <w:lang w:eastAsia="en-GB"/>
        </w:rPr>
        <w:t xml:space="preserve">.  </w:t>
      </w:r>
      <w:r w:rsidR="0071508C" w:rsidRPr="002A6BA8">
        <w:rPr>
          <w:lang w:eastAsia="en-GB"/>
        </w:rPr>
        <w:t>Nevertheless, a</w:t>
      </w:r>
      <w:r w:rsidR="00846E05" w:rsidRPr="002A6BA8">
        <w:rPr>
          <w:lang w:eastAsia="en-GB"/>
        </w:rPr>
        <w:t xml:space="preserve"> different proposed </w:t>
      </w:r>
      <w:r w:rsidR="00CE7976" w:rsidRPr="002A6BA8">
        <w:rPr>
          <w:lang w:eastAsia="en-GB"/>
        </w:rPr>
        <w:t>architecture consists in</w:t>
      </w:r>
      <w:r w:rsidR="00846E05" w:rsidRPr="002A6BA8">
        <w:rPr>
          <w:lang w:eastAsia="en-GB"/>
        </w:rPr>
        <w:t xml:space="preserve"> blending </w:t>
      </w:r>
      <w:r w:rsidR="00F37AAA" w:rsidRPr="002A6BA8">
        <w:rPr>
          <w:lang w:eastAsia="en-GB"/>
        </w:rPr>
        <w:t>the</w:t>
      </w:r>
      <w:r w:rsidR="00846E05" w:rsidRPr="002A6BA8">
        <w:rPr>
          <w:lang w:eastAsia="en-GB"/>
        </w:rPr>
        <w:t xml:space="preserve"> fullerene with perovskite in a bulk-heterojunction like morphology </w:t>
      </w:r>
      <w:r w:rsidR="00846E05" w:rsidRPr="002A6BA8">
        <w:rPr>
          <w:lang w:eastAsia="en-GB"/>
        </w:rPr>
        <w:fldChar w:fldCharType="begin"/>
      </w:r>
      <w:r w:rsidR="00846E05" w:rsidRPr="002A6BA8">
        <w:rPr>
          <w:lang w:eastAsia="en-GB"/>
        </w:rPr>
        <w:instrText xml:space="preserve"> ADDIN ZOTERO_ITEM CSL_CITATION {"citationID":"Zm8O9m1L","properties":{"formattedCitation":"{\\rtf \\super [14,16,17]\\nosupersub{}}","plainCitation":"[14,16,17]"},"citationItems":[{"id":750,"uris":["http://zotero.org/users/local/6uiBC8Ma/items/I5WU6Z6X"],"uri":["http://zotero.org/users/local/6uiBC8Ma/items/I5WU6Z6X"],"itemData":{"id":750,"type":"article-journal","title":"The Functions of Fullerenes in Hybrid Perovskite Solar Cells","container-title":"ACS Energy Letters","page":"782-794","volume":"2","issue":"4","source":"ACS Publications","abstract":"There is increasing interest in the application of fullerene-based carbon materials in perovskite solar cells for increased efficiency, reduced hysteresis, and improved stability. This Perspective summarizes the progress in the understanding of the function of fullerenes in perovskite solar cells in blocking leakage through pin-holes, passivating the defects at the perovskite film surfaces and grain boundaries, and modulating the open-circuit voltage of the devices. We also critically reviewed several open questions on the functions of fullerenes in perovskite solar cells based mainly on recent progress: How do fullerenes reduce current hysteresis? What is the function of double-fullerene layers? Does the doping of the fullerene by perovskite contribute to eliminating the photocurrent hysteresis at room temperature? Why do some perovskite/fullerene solar cells still have hysteresis at low temperature? Are perovskite solar cells with fullerenes in the intergranular boundaries bulk heterojunction solar cells? Finally, the impact of the fullerene on perovskite solar cell stability is discussed.","DOI":"10.1021/acsenergylett.6b00657","journalAbbreviation":"ACS Energy Lett.","author":[{"family":"Fang","given":"Yanjun"},{"family":"Bi","given":"Cheng"},{"family":"Wang","given":"Dong"},{"family":"Huang","given":"Jinsong"}],"issued":{"date-parts":[["2017",4,14]]}}},{"id":756,"uris":["http://zotero.org/users/local/6uiBC8Ma/items/WR94A686"],"uri":["http://zotero.org/users/local/6uiBC8Ma/items/WR94A686"],"itemData":{"id":756,"type":"article-journal","title":"Bulk heterojunction perovskite–PCBM solar cells with high fill factor","container-title":"Nature Photonics","page":"196-200","volume":"10","issue":"3","source":"www.nature.com","abstract":"An inverted bulk heterojunction perovskite–PCBM solar cell with a high fill factor of 0.82 and a power conversion efficiency of up to 16.0% was fabricated by a low-temperature two-step solution process. The cells exhibit no significant photocurrent hysteresis and their high short-circuit current density, fill factor and efficiency are attributed to the advantageous properties of the active layer, such as its high conductivity and the improved mobility and diffusion length of charge carriers. In particular, PCBM plays a critical role in improving the quality of the light-absorbing layer by filling pinholes and vacancies between perovskite grains, resulting in a film with large grains and fewer grain boundaries.","DOI":"10.1038/nphoton.2016.3","ISSN":"1749-4885","journalAbbreviation":"Nat Photon","language":"en","author":[{"family":"Chiang","given":"Chien-Hung"},{"family":"Wu","given":"Chun-Guey"}],"issued":{"date-parts":[["2016",3]]}}},{"id":759,"uris":["http://zotero.org/users/local/6uiBC8Ma/items/6ECH3WXD"],"uri":["http://zotero.org/users/local/6uiBC8Ma/items/6ECH3WXD"],"itemData":{"id":759,"type":"article-journal","title":"Bulk heterojunction perovskite hybrid solar cells with large fill factor","container-title":"Energy &amp; Environmental Science","page":"1245-1255","volume":"8","issue":"4","source":"pubs.rsc.org","abstract":"A major limitation to increasing the efficiency of perovskite hybrid solar cells (pero-HSCs) is the fact that the diffusion length of the electrons is shorter than that of the holes. To facilitate the electron extraction efficiency in pero-HSCs and to make this efficiency comparable with that of the holes, we fabricated bulk heterojunction (BHJ) pero-HSCs by mixing perovskite materials with water-/alcohol-soluble fullerene derivatives. The observed enhanced short-circuit current densities (JSC) and enlarged fill factors (FF) were a result of the balance in the charge carrier extraction efficiency and the enlarged interfacial area between the perovskite materials and the fullerene derivatives. Significantly improved power conversion efficiencies were obtained for these BHJ pero-HSCs. A greater than 22% increase in power conversion efficiency was observed for the BHJ pero-HSCs compared with planar heterojunction pero-HSCs. A remarkable 86.7% FF, the highest reported value for pero-HSCs, was observed for the BHJ pero-HSCs. Our strategy of using a BHJ structure in pero-HSCs offers an efficient and simple way to further increase the performance of these devices.","DOI":"10.1039/C5EE00222B","ISSN":"1754-5706","journalAbbreviation":"Energy Environ. Sci.","language":"en","author":[{"family":"Wang","given":"Kai"},{"family":"Liu","given":"Chang"},{"family":"Du","given":"Pengcheng"},{"family":"Zheng","given":"Jie"},{"family":"Gong","given":"Xiong"}],"issued":{"date-parts":[["2015",4,2]]}}}],"schema":"https://github.com/citation-style-language/schema/raw/master/csl-citation.json"} </w:instrText>
      </w:r>
      <w:r w:rsidR="00846E05" w:rsidRPr="002A6BA8">
        <w:rPr>
          <w:lang w:eastAsia="en-GB"/>
        </w:rPr>
        <w:fldChar w:fldCharType="separate"/>
      </w:r>
      <w:r w:rsidR="00846E05" w:rsidRPr="002A6BA8">
        <w:rPr>
          <w:vertAlign w:val="superscript"/>
        </w:rPr>
        <w:t>[14,16,17]</w:t>
      </w:r>
      <w:r w:rsidR="00846E05" w:rsidRPr="002A6BA8">
        <w:rPr>
          <w:lang w:eastAsia="en-GB"/>
        </w:rPr>
        <w:fldChar w:fldCharType="end"/>
      </w:r>
      <w:r w:rsidR="00846E05" w:rsidRPr="002A6BA8">
        <w:rPr>
          <w:lang w:eastAsia="en-GB"/>
        </w:rPr>
        <w:t xml:space="preserve"> where fullerene intergranular layers are formed as charge percolation paths.  </w:t>
      </w:r>
      <w:r w:rsidR="00846E05" w:rsidRPr="002A6BA8">
        <w:rPr>
          <w:lang w:val="en-GB"/>
        </w:rPr>
        <w:t>Improved conductivity has been demonstrated, related to the longer charge diffusion length and reduced recombination</w:t>
      </w:r>
      <w:r w:rsidR="00846E05" w:rsidRPr="002A6BA8">
        <w:rPr>
          <w:lang w:val="en-GB"/>
        </w:rPr>
        <w:fldChar w:fldCharType="begin"/>
      </w:r>
      <w:r w:rsidR="00846E05" w:rsidRPr="002A6BA8">
        <w:rPr>
          <w:lang w:val="en-GB"/>
        </w:rPr>
        <w:instrText xml:space="preserve"> ADDIN ZOTERO_ITEM CSL_CITATION {"citationID":"189gr90bes","properties":{"formattedCitation":"{\\rtf \\super [14,17]\\nosupersub{}}","plainCitation":"[14,17]"},"citationItems":[{"id":759,"uris":["http://zotero.org/users/local/6uiBC8Ma/items/6ECH3WXD"],"uri":["http://zotero.org/users/local/6uiBC8Ma/items/6ECH3WXD"],"itemData":{"id":759,"type":"article-journal","title":"Bulk heterojunction perovskite hybrid solar cells with large fill factor","container-title":"Energy &amp; Environmental Science","page":"1245-1255","volume":"8","issue":"4","source":"pubs.rsc.org","abstract":"A major limitation to increasing the efficiency of perovskite hybrid solar cells (pero-HSCs) is the fact that the diffusion length of the electrons is shorter than that of the holes. To facilitate the electron extraction efficiency in pero-HSCs and to make this efficiency comparable with that of the holes, we fabricated bulk heterojunction (BHJ) pero-HSCs by mixing perovskite materials with water-/alcohol-soluble fullerene derivatives. The observed enhanced short-circuit current densities (JSC) and enlarged fill factors (FF) were a result of the balance in the charge carrier extraction efficiency and the enlarged interfacial area between the perovskite materials and the fullerene derivatives. Significantly improved power conversion efficiencies were obtained for these BHJ pero-HSCs. A greater than 22% increase in power conversion efficiency was observed for the BHJ pero-HSCs compared with planar heterojunction pero-HSCs. A remarkable 86.7% FF, the highest reported value for pero-HSCs, was observed for the BHJ pero-HSCs. Our strategy of using a BHJ structure in pero-HSCs offers an efficient and simple way to further increase the performance of these devices.","DOI":"10.1039/C5EE00222B","ISSN":"1754-5706","journalAbbreviation":"Energy Environ. Sci.","language":"en","author":[{"family":"Wang","given":"Kai"},{"family":"Liu","given":"Chang"},{"family":"Du","given":"Pengcheng"},{"family":"Zheng","given":"Jie"},{"family":"Gong","given":"Xiong"}],"issued":{"date-parts":[["2015",4,2]]}}},{"id":750,"uris":["http://zotero.org/users/local/6uiBC8Ma/items/I5WU6Z6X"],"uri":["http://zotero.org/users/local/6uiBC8Ma/items/I5WU6Z6X"],"itemData":{"id":750,"type":"article-journal","title":"The Functions of Fullerenes in Hybrid Perovskite Solar Cells","container-title":"ACS Energy Letters","page":"782-794","volume":"2","issue":"4","source":"ACS Publications","abstract":"There is increasing interest in the application of fullerene-based carbon materials in perovskite solar cells for increased efficiency, reduced hysteresis, and improved stability. This Perspective summarizes the progress in the understanding of the function of fullerenes in perovskite solar cells in blocking leakage through pin-holes, passivating the defects at the perovskite film surfaces and grain boundaries, and modulating the open-circuit voltage of the devices. We also critically reviewed several open questions on the functions of fullerenes in perovskite solar cells based mainly on recent progress: How do fullerenes reduce current hysteresis? What is the function of double-fullerene layers? Does the doping of the fullerene by perovskite contribute to eliminating the photocurrent hysteresis at room temperature? Why do some perovskite/fullerene solar cells still have hysteresis at low temperature? Are perovskite solar cells with fullerenes in the intergranular boundaries bulk heterojunction solar cells? Finally, the impact of the fullerene on perovskite solar cell stability is discussed.","DOI":"10.1021/acsenergylett.6b00657","journalAbbreviation":"ACS Energy Lett.","author":[{"family":"Fang","given":"Yanjun"},{"family":"Bi","given":"Cheng"},{"family":"Wang","given":"Dong"},{"family":"Huang","given":"Jinsong"}],"issued":{"date-parts":[["2017",4,14]]}}}],"schema":"https://github.com/citation-style-language/schema/raw/master/csl-citation.json"} </w:instrText>
      </w:r>
      <w:r w:rsidR="00846E05" w:rsidRPr="002A6BA8">
        <w:rPr>
          <w:lang w:val="en-GB"/>
        </w:rPr>
        <w:fldChar w:fldCharType="separate"/>
      </w:r>
      <w:r w:rsidR="00846E05" w:rsidRPr="002A6BA8">
        <w:rPr>
          <w:vertAlign w:val="superscript"/>
        </w:rPr>
        <w:t>[14,17]</w:t>
      </w:r>
      <w:r w:rsidR="00846E05" w:rsidRPr="002A6BA8">
        <w:rPr>
          <w:lang w:val="en-GB"/>
        </w:rPr>
        <w:fldChar w:fldCharType="end"/>
      </w:r>
      <w:r w:rsidR="00F5695E" w:rsidRPr="002A6BA8">
        <w:rPr>
          <w:lang w:val="en-GB"/>
        </w:rPr>
        <w:t xml:space="preserve">, and efficient electron transfer from perovskite to fullerene has been theoretically and experimentally validated, happening on the nanosecond time scale </w:t>
      </w:r>
      <w:r w:rsidR="00F5695E" w:rsidRPr="002A6BA8">
        <w:rPr>
          <w:lang w:val="en-GB"/>
        </w:rPr>
        <w:fldChar w:fldCharType="begin"/>
      </w:r>
      <w:r w:rsidR="00F5695E" w:rsidRPr="002A6BA8">
        <w:rPr>
          <w:lang w:val="en-GB"/>
        </w:rPr>
        <w:instrText xml:space="preserve"> ADDIN ZOTERO_ITEM CSL_CITATION {"citationID":"g8kprpkm4","properties":{"formattedCitation":"{\\rtf \\super [18\\uc0\\u8211{}20]\\nosupersub{}}","plainCitation":"[18–20]"},"citationItems":[{"id":426,"uris":["http://zotero.org/users/local/6uiBC8Ma/items/C7SRRD79"],"uri":["http://zotero.org/users/local/6uiBC8Ma/items/C7SRRD79"],"itemData":{"id":426,"type":"article-journal","title":"Mechanism of Charge Transfer and Recombination Dynamics in Organo Metal Halide Perovskites and Organic Electrodes, PCBM, and Spiro-OMeTAD: Role of Dark Carriers","container-title":"Journal of the American Chemical Society","page":"16043-16048","volume":"137","issue":"51","source":"ACS Publications","abstract":"Despite the unprecedented interest in organic–inorganic metal halide perovskite solar cells, quantitative information on the charge transfer dynamics into selective electrodes is still lacking. In this paper, we report the time scales and mechanisms of electron and hole injection and recombination dynamics at organic PCBM and Spiro-OMeTAD electrode interfaces. On the one hand, hole transfer is complete on the subpicosecond time scale in MAPbI3/Spiro-OMeTAD, and its recombination rate is similar to that in neat MAPbI3. This was found to be due to a high concentration of dark charges, i.e., holes brought about by unintentional p-type doping of MAPbI3. Hence, the total concentration of holes in the perovskite is hardly affected by optical excitation, which manifested as similar decay kinetics. On the other hand, the decay of the photoinduced conductivity in MAPbI3/PCBM is on the time scale of hundreds of picoseconds to several nanoseconds, due to electron injection into PCBM and electron–hole recombination at the interface occurring at similar rates. These results highlight the importance of understanding the role of dark carriers in deconvoluting the complex photophysical processes in these materials. Moreover, optimizing the preparation processes wherein undesired doping is minimized could prompt the use of organic molecules as a more viable electrode substitute for perovskite solar cell devices.","DOI":"10.1021/jacs.5b08770","ISSN":"0002-7863","shortTitle":"Mechanism of Charge Transfer and Recombination Dynamics in Organo Metal Halide Perovskites and Organic Electrodes, PCBM, and Spiro-OMeTAD","journalAbbreviation":"J. Am. Chem. Soc.","author":[{"family":"Ponseca","given":"Carlito S."},{"family":"Hutter","given":"Eline M."},{"family":"Piatkowski","given":"Piotr"},{"family":"Cohen","given":"Boiko"},{"family":"Pascher","given":"Torbjörn"},{"family":"Douhal","given":"Abderrazzak"},{"family":"Yartsev","given":"Arkady"},{"family":"Sundström","given":"Villy"},{"family":"Savenije","given":"Tom J."}],"issued":{"date-parts":[["2015",12,30]]}}},{"id":624,"uris":["http://zotero.org/users/local/6uiBC8Ma/items/IDPGKCVE"],"uri":["http://zotero.org/users/local/6uiBC8Ma/items/IDPGKCVE"],"itemData":{"id":624,"type":"article-journal","title":"Charge Transfer from Methylammonium Lead Iodide Perovskite to Organic Transport Materials: Efficiencies, Transfer Rates, and Interfacial Recombination","container-title":"Advanced Energy Materials","page":"n/a-n/a","volume":"7","issue":"13","source":"Wiley Online Library","abstract":"Perovskite-based photovoltaics have been rapidly developed, with record power conversion efficiencies now exceeding 22%. In order to rationally design efficient and stable perovskite solar cells, it is important to understand not only charge trapping and recombination events, but also processes occurring at the perovskite/transport material (TM) interface, such as charge transfer and interfacial recombination. In this work, time-resolved microwave conductivity measurements are performed to investigate these interfacial processes for methylammonium lead iodide and various state-of-the-art organic TMs. A global kinetic model is developed, which accurately describes both the dynamics of excess charges in the perovskite layer and transfer to charge-specific TMs. The authors conclude that for state-of-the-art materials, such as Spiro-OMeTAD and PCBM, the charge extraction efficiency is not significantly affected by intra-band gap traps for trap densities under 1015 cm–3. Finally, the transfer rates to C60, PCBM, EDOT-OMeTPA, and Spiro-OMeTAD are sufficient to outcompete second order recombination under excitation densities representative for illumination by AM1.5.","DOI":"10.1002/aenm.201602349","ISSN":"1614-6840","shortTitle":"Charge Transfer from Methylammonium Lead Iodide Perovskite to Organic Transport Materials","journalAbbreviation":"Adv. Energy Mater.","language":"en","author":[{"family":"Hutter","given":"Eline M."},{"family":"Hofman","given":"Jan-Jaap"},{"family":"Petrus","given":"Michiel L."},{"family":"Moes","given":"Michiel"},{"family":"Abellón","given":"Ruben D."},{"family":"Docampo","given":"Pablo"},{"family":"Savenije","given":"Tom J."}],"issued":{"date-parts":[["2017",7,1]]}}},{"id":765,"uris":["http://zotero.org/users/local/6uiBC8Ma/items/G6RDIUE9"],"uri":["http://zotero.org/users/local/6uiBC8Ma/items/G6RDIUE9"],"itemData":{"id":765,"type":"webpage","title":"A PCBM Electron Transport Layer Containing Small Amounts of Dual Polymer Additives that Enables Enhanced Perovskite Solar Cell Performance - Zhu - 2015 - Advanced Science - Wiley Online Library","URL":"http://onlinelibrary.wiley.com/doi/10.1002/advs.201500353/full","accessed":{"date-parts":[["2017",9,8]]}}}],"schema":"https://github.com/citation-style-language/schema/raw/master/csl-citation.json"} </w:instrText>
      </w:r>
      <w:r w:rsidR="00F5695E" w:rsidRPr="002A6BA8">
        <w:rPr>
          <w:lang w:val="en-GB"/>
        </w:rPr>
        <w:fldChar w:fldCharType="separate"/>
      </w:r>
      <w:r w:rsidR="00F5695E" w:rsidRPr="002A6BA8">
        <w:rPr>
          <w:vertAlign w:val="superscript"/>
        </w:rPr>
        <w:t>[18–20]</w:t>
      </w:r>
      <w:r w:rsidR="00F5695E" w:rsidRPr="002A6BA8">
        <w:rPr>
          <w:lang w:val="en-GB"/>
        </w:rPr>
        <w:fldChar w:fldCharType="end"/>
      </w:r>
      <w:r w:rsidR="00F5695E" w:rsidRPr="002A6BA8">
        <w:rPr>
          <w:lang w:val="en-GB"/>
        </w:rPr>
        <w:t xml:space="preserve">. </w:t>
      </w:r>
    </w:p>
    <w:p w:rsidR="00C94D9C" w:rsidRPr="002A6BA8" w:rsidRDefault="00A54C85" w:rsidP="00A92DE8">
      <w:pPr>
        <w:pStyle w:val="MainText"/>
        <w:rPr>
          <w:lang w:val="en-GB"/>
        </w:rPr>
      </w:pPr>
      <w:r w:rsidRPr="002A6BA8">
        <w:rPr>
          <w:lang w:val="en-GB"/>
        </w:rPr>
        <w:t xml:space="preserve">Differently from state of the art architectures </w:t>
      </w:r>
      <w:r w:rsidRPr="002A6BA8">
        <w:rPr>
          <w:vertAlign w:val="superscript"/>
          <w:lang w:val="en-GB"/>
        </w:rPr>
        <w:t>[14]</w:t>
      </w:r>
      <w:r w:rsidRPr="002A6BA8">
        <w:rPr>
          <w:lang w:val="en-GB"/>
        </w:rPr>
        <w:t>, here</w:t>
      </w:r>
      <w:r w:rsidR="00E05545" w:rsidRPr="002A6BA8">
        <w:rPr>
          <w:lang w:val="en-GB"/>
        </w:rPr>
        <w:t xml:space="preserve"> we choose a different strategy </w:t>
      </w:r>
      <w:r w:rsidR="00AB59E7" w:rsidRPr="002A6BA8">
        <w:rPr>
          <w:lang w:val="en-GB"/>
        </w:rPr>
        <w:t xml:space="preserve">by </w:t>
      </w:r>
      <w:r w:rsidR="005E63BD" w:rsidRPr="002A6BA8">
        <w:rPr>
          <w:lang w:val="en-GB"/>
        </w:rPr>
        <w:t xml:space="preserve">mixing the precursors of </w:t>
      </w:r>
      <w:r w:rsidR="00E05545" w:rsidRPr="002A6BA8">
        <w:rPr>
          <w:lang w:val="en-GB"/>
        </w:rPr>
        <w:t>the MAPbI</w:t>
      </w:r>
      <w:r w:rsidR="00E05545" w:rsidRPr="002A6BA8">
        <w:rPr>
          <w:vertAlign w:val="subscript"/>
          <w:lang w:val="en-GB"/>
        </w:rPr>
        <w:t>3</w:t>
      </w:r>
      <w:r w:rsidR="00E05545" w:rsidRPr="002A6BA8">
        <w:rPr>
          <w:lang w:val="en-GB"/>
        </w:rPr>
        <w:t xml:space="preserve"> with C</w:t>
      </w:r>
      <w:r w:rsidR="00E05545" w:rsidRPr="002A6BA8">
        <w:rPr>
          <w:vertAlign w:val="subscript"/>
          <w:lang w:val="en-GB"/>
        </w:rPr>
        <w:t>70</w:t>
      </w:r>
      <w:r w:rsidR="00E05545" w:rsidRPr="002A6BA8">
        <w:rPr>
          <w:lang w:val="en-GB"/>
        </w:rPr>
        <w:t xml:space="preserve">-fullerene </w:t>
      </w:r>
      <w:r w:rsidR="00AB59E7" w:rsidRPr="002A6BA8">
        <w:rPr>
          <w:lang w:val="en-GB"/>
        </w:rPr>
        <w:t>dispers</w:t>
      </w:r>
      <w:r w:rsidR="005E63BD" w:rsidRPr="002A6BA8">
        <w:rPr>
          <w:lang w:val="en-GB"/>
        </w:rPr>
        <w:t>ion</w:t>
      </w:r>
      <w:r w:rsidR="00A92DE8" w:rsidRPr="002A6BA8">
        <w:rPr>
          <w:lang w:val="en-GB"/>
        </w:rPr>
        <w:t xml:space="preserve"> in solution</w:t>
      </w:r>
      <w:r w:rsidR="00AB59E7" w:rsidRPr="002A6BA8">
        <w:rPr>
          <w:lang w:val="en-GB"/>
        </w:rPr>
        <w:t xml:space="preserve">. This results in a fine </w:t>
      </w:r>
      <w:r w:rsidR="00A92DE8" w:rsidRPr="002A6BA8">
        <w:rPr>
          <w:lang w:val="en-GB"/>
        </w:rPr>
        <w:t>blend</w:t>
      </w:r>
      <w:r w:rsidR="00E05545" w:rsidRPr="002A6BA8">
        <w:rPr>
          <w:lang w:val="en-GB"/>
        </w:rPr>
        <w:t xml:space="preserve"> of the C</w:t>
      </w:r>
      <w:r w:rsidR="00E05545" w:rsidRPr="002A6BA8">
        <w:rPr>
          <w:vertAlign w:val="subscript"/>
          <w:lang w:val="en-GB"/>
        </w:rPr>
        <w:t>70</w:t>
      </w:r>
      <w:r w:rsidR="00E05545" w:rsidRPr="002A6BA8">
        <w:rPr>
          <w:lang w:val="en-GB"/>
        </w:rPr>
        <w:t xml:space="preserve"> molecules within the MAPbI</w:t>
      </w:r>
      <w:r w:rsidR="00E05545" w:rsidRPr="002A6BA8">
        <w:rPr>
          <w:vertAlign w:val="subscript"/>
          <w:lang w:val="en-GB"/>
        </w:rPr>
        <w:t>3</w:t>
      </w:r>
      <w:r w:rsidR="00E05545" w:rsidRPr="002A6BA8">
        <w:rPr>
          <w:lang w:val="en-GB"/>
        </w:rPr>
        <w:t xml:space="preserve"> matrix, avoiding the formation of a coarser phase separated morphology, as in the case </w:t>
      </w:r>
      <w:r w:rsidR="006C3563" w:rsidRPr="002A6BA8">
        <w:rPr>
          <w:lang w:val="en-GB"/>
        </w:rPr>
        <w:t>of</w:t>
      </w:r>
      <w:r w:rsidR="00E05545" w:rsidRPr="002A6BA8">
        <w:rPr>
          <w:lang w:val="en-GB"/>
        </w:rPr>
        <w:t xml:space="preserve"> bulk heterojunctions. </w:t>
      </w:r>
      <w:r w:rsidR="007D39CA" w:rsidRPr="002A6BA8">
        <w:rPr>
          <w:lang w:val="en-GB"/>
        </w:rPr>
        <w:t>By using this approach</w:t>
      </w:r>
      <w:r w:rsidR="00A92DE8" w:rsidRPr="002A6BA8">
        <w:rPr>
          <w:lang w:val="en-GB"/>
        </w:rPr>
        <w:t xml:space="preserve">, </w:t>
      </w:r>
      <w:r w:rsidR="00AB59E7" w:rsidRPr="002A6BA8">
        <w:rPr>
          <w:lang w:eastAsia="en-GB"/>
        </w:rPr>
        <w:t xml:space="preserve">we </w:t>
      </w:r>
      <w:r w:rsidR="00D930ED" w:rsidRPr="002A6BA8">
        <w:rPr>
          <w:lang w:eastAsia="en-GB"/>
        </w:rPr>
        <w:t xml:space="preserve">developed </w:t>
      </w:r>
      <w:r w:rsidR="00AB59E7" w:rsidRPr="002A6BA8">
        <w:rPr>
          <w:lang w:val="en-GB"/>
        </w:rPr>
        <w:t>mesoporous</w:t>
      </w:r>
      <w:r w:rsidR="006B57DB" w:rsidRPr="002A6BA8">
        <w:rPr>
          <w:lang w:val="en-GB"/>
        </w:rPr>
        <w:t>-TiO</w:t>
      </w:r>
      <w:r w:rsidR="006B57DB" w:rsidRPr="002A6BA8">
        <w:rPr>
          <w:vertAlign w:val="subscript"/>
          <w:lang w:val="en-GB"/>
        </w:rPr>
        <w:t>2</w:t>
      </w:r>
      <w:r w:rsidR="00AB59E7" w:rsidRPr="002A6BA8">
        <w:rPr>
          <w:lang w:val="en-GB"/>
        </w:rPr>
        <w:t xml:space="preserve">, </w:t>
      </w:r>
      <w:r w:rsidR="006B57DB" w:rsidRPr="002A6BA8">
        <w:rPr>
          <w:lang w:val="en-GB"/>
        </w:rPr>
        <w:t>planar-</w:t>
      </w:r>
      <w:r w:rsidR="00AB59E7" w:rsidRPr="002A6BA8">
        <w:rPr>
          <w:lang w:val="en-GB"/>
        </w:rPr>
        <w:t>TiO</w:t>
      </w:r>
      <w:r w:rsidR="00AB59E7" w:rsidRPr="002A6BA8">
        <w:rPr>
          <w:vertAlign w:val="subscript"/>
          <w:lang w:val="en-GB"/>
        </w:rPr>
        <w:t>2</w:t>
      </w:r>
      <w:r w:rsidR="00AB59E7" w:rsidRPr="002A6BA8">
        <w:rPr>
          <w:lang w:val="en-GB"/>
        </w:rPr>
        <w:t xml:space="preserve"> as well as ETL</w:t>
      </w:r>
      <w:r w:rsidR="00F95157" w:rsidRPr="002A6BA8">
        <w:rPr>
          <w:lang w:val="en-GB"/>
        </w:rPr>
        <w:t>-</w:t>
      </w:r>
      <w:r w:rsidR="00D11E53" w:rsidRPr="002A6BA8">
        <w:rPr>
          <w:lang w:val="en-GB"/>
        </w:rPr>
        <w:t xml:space="preserve"> free</w:t>
      </w:r>
      <w:r w:rsidR="00AB59E7" w:rsidRPr="002A6BA8">
        <w:rPr>
          <w:lang w:val="en-GB"/>
        </w:rPr>
        <w:t xml:space="preserve"> device</w:t>
      </w:r>
      <w:r w:rsidR="006B57DB" w:rsidRPr="002A6BA8">
        <w:rPr>
          <w:lang w:val="en-GB"/>
        </w:rPr>
        <w:t xml:space="preserve"> configuration</w:t>
      </w:r>
      <w:r w:rsidR="00AB59E7" w:rsidRPr="002A6BA8">
        <w:rPr>
          <w:lang w:val="en-GB"/>
        </w:rPr>
        <w:t>s.</w:t>
      </w:r>
      <w:r w:rsidR="00AB59E7" w:rsidRPr="002A6BA8">
        <w:rPr>
          <w:lang w:val="de-DE"/>
        </w:rPr>
        <w:t> </w:t>
      </w:r>
      <w:r w:rsidR="00E05545" w:rsidRPr="002A6BA8">
        <w:rPr>
          <w:lang w:val="en-GB"/>
        </w:rPr>
        <w:t>A clear trend is observed</w:t>
      </w:r>
      <w:r w:rsidR="00D930ED" w:rsidRPr="002A6BA8">
        <w:rPr>
          <w:lang w:val="en-GB"/>
        </w:rPr>
        <w:t>:</w:t>
      </w:r>
      <w:r w:rsidR="00E05545" w:rsidRPr="002A6BA8">
        <w:rPr>
          <w:lang w:val="en-GB"/>
        </w:rPr>
        <w:t xml:space="preserve"> upon the doping with C</w:t>
      </w:r>
      <w:r w:rsidR="00E05545" w:rsidRPr="002A6BA8">
        <w:rPr>
          <w:vertAlign w:val="subscript"/>
          <w:lang w:val="en-GB"/>
        </w:rPr>
        <w:t>70</w:t>
      </w:r>
      <w:r w:rsidR="00A92DE8" w:rsidRPr="002A6BA8">
        <w:rPr>
          <w:vertAlign w:val="subscript"/>
          <w:lang w:val="en-GB"/>
        </w:rPr>
        <w:t>,</w:t>
      </w:r>
      <w:r w:rsidR="00D930ED" w:rsidRPr="002A6BA8">
        <w:rPr>
          <w:vertAlign w:val="subscript"/>
          <w:lang w:val="en-GB"/>
        </w:rPr>
        <w:t xml:space="preserve"> </w:t>
      </w:r>
      <w:r w:rsidR="00E05545" w:rsidRPr="002A6BA8">
        <w:rPr>
          <w:lang w:val="en-GB"/>
        </w:rPr>
        <w:t xml:space="preserve">the solar cell </w:t>
      </w:r>
      <w:r w:rsidR="00E05545" w:rsidRPr="002A6BA8">
        <w:rPr>
          <w:i/>
          <w:lang w:val="en-GB"/>
        </w:rPr>
        <w:t>V</w:t>
      </w:r>
      <w:r w:rsidR="00912D6D" w:rsidRPr="002A6BA8">
        <w:rPr>
          <w:i/>
          <w:vertAlign w:val="subscript"/>
          <w:lang w:val="en-GB"/>
        </w:rPr>
        <w:t xml:space="preserve">OC </w:t>
      </w:r>
      <w:r w:rsidR="00A92DE8" w:rsidRPr="002A6BA8">
        <w:rPr>
          <w:lang w:val="en-GB"/>
        </w:rPr>
        <w:lastRenderedPageBreak/>
        <w:t>increases</w:t>
      </w:r>
      <w:r w:rsidR="00E05545" w:rsidRPr="002A6BA8">
        <w:rPr>
          <w:lang w:val="en-GB"/>
        </w:rPr>
        <w:t xml:space="preserve"> independently from the device configuration. Remarkably, a simple planar, ETL-free MAPbI</w:t>
      </w:r>
      <w:r w:rsidR="00E05545" w:rsidRPr="002A6BA8">
        <w:rPr>
          <w:vertAlign w:val="subscript"/>
          <w:lang w:val="en-GB"/>
        </w:rPr>
        <w:t>3</w:t>
      </w:r>
      <w:r w:rsidR="00E05545" w:rsidRPr="002A6BA8">
        <w:rPr>
          <w:lang w:val="en-GB"/>
        </w:rPr>
        <w:t>:C</w:t>
      </w:r>
      <w:r w:rsidR="00E05545" w:rsidRPr="002A6BA8">
        <w:rPr>
          <w:vertAlign w:val="subscript"/>
          <w:lang w:val="en-GB"/>
        </w:rPr>
        <w:t>70</w:t>
      </w:r>
      <w:r w:rsidR="00E05545" w:rsidRPr="002A6BA8">
        <w:rPr>
          <w:lang w:val="en-GB"/>
        </w:rPr>
        <w:t xml:space="preserve"> cell processed by a low-temperature solution method delivers a record power conversion efficiency (PCE) of 15.7% with improved </w:t>
      </w:r>
      <w:r w:rsidR="008C506D" w:rsidRPr="002A6BA8">
        <w:rPr>
          <w:i/>
        </w:rPr>
        <w:t>V</w:t>
      </w:r>
      <w:r w:rsidR="00912D6D" w:rsidRPr="002A6BA8">
        <w:rPr>
          <w:i/>
          <w:vertAlign w:val="subscript"/>
        </w:rPr>
        <w:t>OC</w:t>
      </w:r>
      <w:r w:rsidR="00E05545" w:rsidRPr="002A6BA8">
        <w:rPr>
          <w:lang w:val="en-GB"/>
        </w:rPr>
        <w:t xml:space="preserve"> = 1.065 V</w:t>
      </w:r>
      <w:r w:rsidR="00AB59E7" w:rsidRPr="002A6BA8">
        <w:rPr>
          <w:lang w:val="en-GB"/>
        </w:rPr>
        <w:t>, surpassing the</w:t>
      </w:r>
      <w:r w:rsidR="006C3563" w:rsidRPr="002A6BA8">
        <w:rPr>
          <w:lang w:val="en-GB"/>
        </w:rPr>
        <w:t xml:space="preserve"> current</w:t>
      </w:r>
      <w:r w:rsidR="00AB59E7" w:rsidRPr="002A6BA8">
        <w:rPr>
          <w:lang w:val="en-GB"/>
        </w:rPr>
        <w:t xml:space="preserve"> records</w:t>
      </w:r>
      <w:r w:rsidR="00530C85" w:rsidRPr="002A6BA8">
        <w:rPr>
          <w:lang w:val="en-GB"/>
        </w:rPr>
        <w:t xml:space="preserve"> for </w:t>
      </w:r>
      <w:r w:rsidR="00294BE2" w:rsidRPr="002A6BA8">
        <w:rPr>
          <w:lang w:val="en-GB"/>
        </w:rPr>
        <w:t>such</w:t>
      </w:r>
      <w:r w:rsidR="00AE7F3D" w:rsidRPr="002A6BA8">
        <w:rPr>
          <w:lang w:val="en-GB"/>
        </w:rPr>
        <w:t xml:space="preserve"> simple</w:t>
      </w:r>
      <w:r w:rsidR="00530C85" w:rsidRPr="002A6BA8">
        <w:rPr>
          <w:lang w:val="en-GB"/>
        </w:rPr>
        <w:t xml:space="preserve"> architecture</w:t>
      </w:r>
      <w:r w:rsidR="008160F3" w:rsidRPr="002A6BA8">
        <w:rPr>
          <w:lang w:val="en-GB"/>
        </w:rPr>
        <w:t xml:space="preserve"> </w:t>
      </w:r>
      <w:r w:rsidR="008160F3" w:rsidRPr="002A6BA8">
        <w:rPr>
          <w:lang w:val="en-GB"/>
        </w:rPr>
        <w:fldChar w:fldCharType="begin"/>
      </w:r>
      <w:r w:rsidR="008160F3" w:rsidRPr="002A6BA8">
        <w:rPr>
          <w:lang w:val="en-GB"/>
        </w:rPr>
        <w:instrText xml:space="preserve"> ADDIN ZOTERO_ITEM CSL_CITATION {"citationID":"Ayqlz9AW","properties":{"formattedCitation":"{\\rtf \\super [21\\uc0\\u8211{}25]\\nosupersub{}}","plainCitation":"[21–25]"},"citationItems":[{"id":710,"uris":["http://zotero.org/users/local/6uiBC8Ma/items/7BS4MRT4"],"uri":["http://zotero.org/users/local/6uiBC8Ma/items/7BS4MRT4"],"itemData":{"id":710,"type":"article-journal","title":"Perovskite solar cells with a planar heterojunction structure prepared using room-temperature solution processing techniques","container-title":"Nature Photonics","page":"133-138","volume":"8","issue":"2","source":"www.nature.com","abstract":"Organic–inorganic hybrid solar cells that combine a mesoporous scaffold, a perovskite light absorber and an organic hole transporter have emerged at the forefront of solution-processable photovoltaic devices; however, they require processing temperatures of up to 500 °C to sinter the mesoporous metal-oxide support. Here, we report the use of a thin film of ZnO nanoparticles as an electron-transport layer in CH3NH3PbI3-based solar cells; in contrast to mesoporous TiO2, the ZnO layer is both substantially thinner and requires no sintering. We took advantage of these facts to prepare flexible solar cells with power-conversion efficiencies in excess of 10%. The use of ZnO also results in improvements to device performance for cells prepared on rigid substrates. Solar cells based on this design exhibit power-conversion efficiencies as high as 15.7% when measured under AM1.5G illumination, which makes them some of the highest-performing perovskite solar cells reported to date.","DOI":"10.1038/nphoton.2013.342","ISSN":"1749-4885","journalAbbreviation":"Nat Photon","language":"en","author":[{"family":"Liu","given":"Dianyi"},{"family":"Kelly","given":"Timothy L."}],"issued":{"date-parts":[["2014",2]]}}},{"id":7,"uris":["http://zotero.org/users/local/6uiBC8Ma/items/U8IMH39A"],"uri":["http://zotero.org/users/local/6uiBC8Ma/items/U8IMH39A"],"itemData":{"id":7,"type":"article-journal","title":"A hole-conductor–free, fully printable mesoscopic perovskite solar cell with high stability","container-title":"Science","page":"295-298","volume":"345","issue":"6194","source":"science.sciencemag.org","abstract":"Improved perovskite photovoltaic performance\nA recent entry in the solar cell race is perovskite cells, named for the structure adopted by salt made from metal halides and organic cations that absorb the light and generate charges. The charges generated have to be transferred to a metal oxide (typically titanium oxide), and some of these charge carriers are lost in the transfer. Mei et al. made this process more efficient by growing a more crystalline perovskite with fewer defects inside porous versions of titanium and zirconium oxide. They added a second organic cation that stuck to the pore walls and directed the growth of the perovskite crystals. The improved solar cells operated for more than 1000 hours under full sunlight.\nScience, this issue p. 295\nWe fabricated a perovskite solar cell that uses a double layer of mesoporous TiO2 and ZrO2 as a scaffold infiltrated with perovskite and does not require a hole-conducting layer. The perovskite was produced by drop-casting a solution of PbI2, methylammonium (MA) iodide, and 5-ammoniumvaleric acid (5-AVA) iodide through a porous carbon film. The 5-AVA templating created mixed-cation perovskite (5-AVA)x(MA)1-xPbI3 crystals with lower defect concentration and better pore filling as well as more complete contact with the TiO2 scaffold, resulting in a longer exciton lifetime and a higher quantum yield for photoinduced charge separation as compared to MAPbI3. The cell achieved a certified power conversion efficiency of 12.8% and was stable for &gt;1000 hours in ambient air under full sunlight.\nA mixed organic phase perovskite grown in mesoporous templates boosts solar cell stability.\nA mixed organic phase perovskite grown in mesoporous templates boosts solar cell stability.","DOI":"10.1126/science.1254763","ISSN":"0036-8075, 1095-9203","note":"PMID: 25035487","language":"en","author":[{"family":"Mei","given":"Anyi"},{"family":"Li","given":"Xiong"},{"family":"Liu","given":"Linfeng"},{"family":"Ku","given":"Zhiliang"},{"family":"Liu","given":"Tongfa"},{"family":"Rong","given":"Yaoguang"},{"family":"Xu","given":"Mi"},{"family":"Hu","given":"Min"},{"family":"Chen","given":"Jiangzhao"},{"family":"Yang","given":"Ying"},{"family":"Grätzel","given":"Michael"},{"family":"Han","given":"Hongwei"}],"issued":{"date-parts":[["2014",7,18]]},"PMID":"25035487"}},{"id":698,"uris":["http://zotero.org/users/local/6uiBC8Ma/items/5SRP59T8"],"uri":["http://zotero.org/users/local/6uiBC8Ma/items/5SRP59T8"],"itemData":{"id":698,"type":"article-journal","title":"One-Year stable perovskite solar cells by 2D/3D interface engineering","container-title":"Nature Communications","page":"ncomms15684","volume":"8","source":"www.nature.com","abstract":"&lt;p&gt;Up-scaling represents a key challenge for photovoltaics based on metal halide perovskites. Using a composite of 2D and 3D perovskites in combination with a printable carbon black/graphite counter electrode; Grancini &lt;i&gt;et al&lt;/i&gt;., report 11.2% efficient modules stable ove&amp;hellip;&lt;/p&gt;","DOI":"10.1038/ncomms15684","ISSN":"2041-1723","language":"en","author":[{"family":"Grancini","given":"G."},{"family":"Roldán-Carmona","given":"C."},{"family":"Zimmermann","given":"I."},{"family":"Mosconi","given":"E."},{"family":"Lee","given":"X."},{"family":"Martineau","given":"D."},{"family":"Narbey","given":"S."},{"family":"Oswald","given":"F."},{"family":"Angelis","given":"F. De"},{"family":"Graetzel","given":"M."},{"family":"Nazeeruddin","given":"Mohammad Khaja"}],"issued":{"date-parts":[["2017",6,1]]}}},{"id":618,"uris":["http://zotero.org/users/local/6uiBC8Ma/items/7D6GS5XN"],"uri":["http://zotero.org/users/local/6uiBC8Ma/items/7D6GS5XN"],"itemData":{"id":618,"type":"article-journal","title":"Modified Fullerenes for Efficient Electron Transport Layer-Free Perovskite/Fullerene Blend-Based Solar Cells","container-title":"ChemSusChem","page":"2023-2029","volume":"10","issue":"9","source":"Wiley Online Library","abstract":"A variety of novel chemically modified fullerenes, showing different electron-accepting capabilities, has been synthesized and used to prepare electron transport layer (ETL)-free solar cells based on perovskite/fullerene blends. In particular, isoxazolino[60] fullerenes are proven to be a good candidate for processing blend films with CH3NH3PbI3 and obtaining enhanced power conversion efficiency (PCE) ETL-free perovskite solar cells (PSCs), improving the state-of-the-art PCE (i.e., 14.3 %) for this simplified device architecture. A beneficial effect for pyrazolino and methano[60]fullerene derivatives versus pristine [60]/fullerene is also shown. Furthermore, a clear correlation between the LUMO energy level of the fullerene component and the open circuit voltage of the solar cells is found. Apart from the new knowledge on innovative fullerene derivatives for PSCs, the universality and versatility of perovskite/fullerene blend films to obtain efficient ETL-free PSCs is demonstrated.","DOI":"10.1002/cssc.201700180","ISSN":"1864-564X","journalAbbreviation":"ChemSusChem","language":"en","author":[{"family":"Sandoval-Torrientes","given":"Rafael"},{"family":"Pascual","given":"Jorge"},{"family":"García-Benito","given":"Inés"},{"family":"Collavini","given":"Silvia"},{"family":"Kosta","given":"Ivet"},{"family":"Tena-Zaera","given":"Ramón"},{"family":"Martín","given":"Nazario"},{"family":"Delgado","given":"Juan Luis"}],"issued":{"date-parts":[["2017",5,9]]}}},{"id":621,"uris":["http://zotero.org/users/local/6uiBC8Ma/items/GJNSAFG2"],"uri":["http://zotero.org/users/local/6uiBC8Ma/items/GJNSAFG2"],"itemData":{"id":621,"type":"article-journal","title":"Compact Layer Free Perovskite Solar Cells with 13.5% Efficiency","container-title":"Journal of the American Chemical Society","page":"17116-17122","volume":"136","issue":"49","source":"ACS Publications","abstract":"The recent breakthrough of organometal halide perovskites as the light harvesting layer in photovoltaic devices has led to power conversion efficiencies of over 16%. To date, most perovskite solar cells have adopted a structure in which the perovskite light absorber is placed between carrier-selective electron- and hole-transport layers (ETLs and HTLs). Here we report a new type of compact layer free bilayer perovskite solar cell and conclusively demonstrate that the ETL is not a prerequisite for obtaining excellent device efficiencies. We obtained power conversion efficiencies of up to 11.6% an</w:instrText>
      </w:r>
      <w:r w:rsidR="008160F3" w:rsidRPr="002A6BA8">
        <w:rPr>
          <w:rFonts w:hint="eastAsia"/>
          <w:lang w:val="en-GB"/>
        </w:rPr>
        <w:instrText>d 13.5% when using poly(3-hexylthiophene) and 2,2</w:instrText>
      </w:r>
      <w:r w:rsidR="008160F3" w:rsidRPr="002A6BA8">
        <w:rPr>
          <w:rFonts w:hint="eastAsia"/>
          <w:lang w:val="en-GB"/>
        </w:rPr>
        <w:instrText>′</w:instrText>
      </w:r>
      <w:r w:rsidR="008160F3" w:rsidRPr="002A6BA8">
        <w:rPr>
          <w:rFonts w:hint="eastAsia"/>
          <w:lang w:val="en-GB"/>
        </w:rPr>
        <w:instrText>,7,7</w:instrText>
      </w:r>
      <w:r w:rsidR="008160F3" w:rsidRPr="002A6BA8">
        <w:rPr>
          <w:rFonts w:hint="eastAsia"/>
          <w:lang w:val="en-GB"/>
        </w:rPr>
        <w:instrText>′</w:instrText>
      </w:r>
      <w:r w:rsidR="008160F3" w:rsidRPr="002A6BA8">
        <w:rPr>
          <w:rFonts w:hint="eastAsia"/>
          <w:lang w:val="en-GB"/>
        </w:rPr>
        <w:instrText>-tetrakis(N,N-di(4-methoxyphenyl)amino)-9,9</w:instrText>
      </w:r>
      <w:r w:rsidR="008160F3" w:rsidRPr="002A6BA8">
        <w:rPr>
          <w:rFonts w:hint="eastAsia"/>
          <w:lang w:val="en-GB"/>
        </w:rPr>
        <w:instrText>′</w:instrText>
      </w:r>
      <w:r w:rsidR="008160F3" w:rsidRPr="002A6BA8">
        <w:rPr>
          <w:rFonts w:hint="eastAsia"/>
          <w:lang w:val="en-GB"/>
        </w:rPr>
        <w:instrText>-spirobifluorene, respectively, as the hole-transport material. This performance is very comparable to that obtained with the use of a ZnO ETL. Impedance sp</w:instrText>
      </w:r>
      <w:r w:rsidR="008160F3" w:rsidRPr="002A6BA8">
        <w:rPr>
          <w:lang w:val="en-GB"/>
        </w:rPr>
        <w:instrText xml:space="preserve">ectroscopy suggests that while eliminating the ZnO leads to an increase in contact resistance, this is offset by a substantial decrease in surface recombination.","DOI":"10.1021/ja508758k","ISSN":"0002-7863","journalAbbreviation":"J. Am. Chem. Soc.","author":[{"family":"Liu","given":"Dianyi"},{"family":"Yang","given":"Jinli"},{"family":"Kelly","given":"Timothy L."}],"issued":{"date-parts":[["2014",12,10]]}}}],"schema":"https://github.com/citation-style-language/schema/raw/master/csl-citation.json"} </w:instrText>
      </w:r>
      <w:r w:rsidR="008160F3" w:rsidRPr="002A6BA8">
        <w:rPr>
          <w:lang w:val="en-GB"/>
        </w:rPr>
        <w:fldChar w:fldCharType="separate"/>
      </w:r>
      <w:r w:rsidR="008160F3" w:rsidRPr="002A6BA8">
        <w:rPr>
          <w:vertAlign w:val="superscript"/>
        </w:rPr>
        <w:t>[21–25]</w:t>
      </w:r>
      <w:r w:rsidR="008160F3" w:rsidRPr="002A6BA8">
        <w:rPr>
          <w:lang w:val="en-GB"/>
        </w:rPr>
        <w:fldChar w:fldCharType="end"/>
      </w:r>
      <w:r w:rsidR="008160F3" w:rsidRPr="002A6BA8">
        <w:rPr>
          <w:lang w:val="en-GB"/>
        </w:rPr>
        <w:t xml:space="preserve">. </w:t>
      </w:r>
      <w:r w:rsidR="00E05545" w:rsidRPr="002A6BA8">
        <w:rPr>
          <w:lang w:val="en-GB"/>
        </w:rPr>
        <w:t xml:space="preserve">We investigated the </w:t>
      </w:r>
      <w:r w:rsidR="006C3563" w:rsidRPr="002A6BA8">
        <w:rPr>
          <w:lang w:val="en-GB"/>
        </w:rPr>
        <w:t>effects</w:t>
      </w:r>
      <w:r w:rsidR="00E05545" w:rsidRPr="002A6BA8">
        <w:rPr>
          <w:lang w:val="en-GB"/>
        </w:rPr>
        <w:t xml:space="preserve"> of the doping with C</w:t>
      </w:r>
      <w:r w:rsidR="00E05545" w:rsidRPr="002A6BA8">
        <w:rPr>
          <w:vertAlign w:val="subscript"/>
          <w:lang w:val="en-GB"/>
        </w:rPr>
        <w:t>70</w:t>
      </w:r>
      <w:r w:rsidR="00E05545" w:rsidRPr="002A6BA8">
        <w:rPr>
          <w:lang w:val="en-GB"/>
        </w:rPr>
        <w:t xml:space="preserve"> </w:t>
      </w:r>
      <w:r w:rsidR="006C3563" w:rsidRPr="002A6BA8">
        <w:rPr>
          <w:lang w:val="en-GB"/>
        </w:rPr>
        <w:t xml:space="preserve">by </w:t>
      </w:r>
      <w:r w:rsidR="00E05545" w:rsidRPr="002A6BA8">
        <w:rPr>
          <w:lang w:val="en-GB"/>
        </w:rPr>
        <w:t>monitoring the charge</w:t>
      </w:r>
      <w:r w:rsidR="006C3563" w:rsidRPr="002A6BA8">
        <w:rPr>
          <w:lang w:val="en-GB"/>
        </w:rPr>
        <w:t xml:space="preserve"> carrier</w:t>
      </w:r>
      <w:r w:rsidR="00E05545" w:rsidRPr="002A6BA8">
        <w:rPr>
          <w:lang w:val="en-GB"/>
        </w:rPr>
        <w:t xml:space="preserve"> dynamics over a broad time range from femtosecond</w:t>
      </w:r>
      <w:r w:rsidR="00530C85" w:rsidRPr="002A6BA8">
        <w:rPr>
          <w:lang w:val="en-GB"/>
        </w:rPr>
        <w:t>s</w:t>
      </w:r>
      <w:r w:rsidR="00E05545" w:rsidRPr="002A6BA8">
        <w:rPr>
          <w:lang w:val="en-GB"/>
        </w:rPr>
        <w:t xml:space="preserve"> to nanosecond</w:t>
      </w:r>
      <w:r w:rsidR="00530C85" w:rsidRPr="002A6BA8">
        <w:rPr>
          <w:lang w:val="en-GB"/>
        </w:rPr>
        <w:t>s</w:t>
      </w:r>
      <w:r w:rsidR="00E05545" w:rsidRPr="002A6BA8">
        <w:rPr>
          <w:lang w:val="en-GB"/>
        </w:rPr>
        <w:t xml:space="preserve"> combining transient absorption (TA) and photoluminescence (PL) measurements. </w:t>
      </w:r>
      <w:r w:rsidR="00AD11D3" w:rsidRPr="002A6BA8">
        <w:rPr>
          <w:lang w:val="en-GB"/>
        </w:rPr>
        <w:t>Noteworthy</w:t>
      </w:r>
      <w:r w:rsidR="00E05545" w:rsidRPr="002A6BA8">
        <w:rPr>
          <w:lang w:val="en-GB"/>
        </w:rPr>
        <w:t xml:space="preserve">, </w:t>
      </w:r>
      <w:r w:rsidR="007D39CA" w:rsidRPr="002A6BA8">
        <w:rPr>
          <w:lang w:val="en-GB"/>
        </w:rPr>
        <w:t>we investigate</w:t>
      </w:r>
      <w:r w:rsidR="00E05545" w:rsidRPr="002A6BA8">
        <w:rPr>
          <w:lang w:val="en-GB"/>
        </w:rPr>
        <w:t xml:space="preserve"> the </w:t>
      </w:r>
      <w:r w:rsidR="00530C85" w:rsidRPr="002A6BA8">
        <w:rPr>
          <w:lang w:val="en-GB"/>
        </w:rPr>
        <w:t xml:space="preserve">ultrafast TA </w:t>
      </w:r>
      <w:r w:rsidR="00E05545" w:rsidRPr="002A6BA8">
        <w:rPr>
          <w:lang w:val="en-GB"/>
        </w:rPr>
        <w:t>dynamics in a</w:t>
      </w:r>
      <w:r w:rsidR="005E63BD" w:rsidRPr="002A6BA8">
        <w:rPr>
          <w:lang w:val="en-GB"/>
        </w:rPr>
        <w:t>n extended</w:t>
      </w:r>
      <w:r w:rsidR="00E05545" w:rsidRPr="002A6BA8">
        <w:rPr>
          <w:lang w:val="en-GB"/>
        </w:rPr>
        <w:t xml:space="preserve"> </w:t>
      </w:r>
      <w:r w:rsidR="007D39CA" w:rsidRPr="002A6BA8">
        <w:rPr>
          <w:lang w:val="en-GB"/>
        </w:rPr>
        <w:t xml:space="preserve">high </w:t>
      </w:r>
      <w:r w:rsidR="006C3563" w:rsidRPr="002A6BA8">
        <w:rPr>
          <w:lang w:val="en-GB"/>
        </w:rPr>
        <w:t xml:space="preserve">photon </w:t>
      </w:r>
      <w:r w:rsidR="00E05545" w:rsidRPr="002A6BA8">
        <w:rPr>
          <w:lang w:val="en-GB"/>
        </w:rPr>
        <w:t>energy spectral window</w:t>
      </w:r>
      <w:r w:rsidR="00AD11D3" w:rsidRPr="002A6BA8">
        <w:rPr>
          <w:lang w:val="en-GB"/>
        </w:rPr>
        <w:t>,</w:t>
      </w:r>
      <w:r w:rsidR="00E05545" w:rsidRPr="002A6BA8">
        <w:rPr>
          <w:lang w:val="en-GB"/>
        </w:rPr>
        <w:t xml:space="preserve"> </w:t>
      </w:r>
      <w:r w:rsidR="00AD11D3" w:rsidRPr="002A6BA8">
        <w:rPr>
          <w:lang w:val="en-GB"/>
        </w:rPr>
        <w:t xml:space="preserve">which </w:t>
      </w:r>
      <w:r w:rsidR="006C3563" w:rsidRPr="002A6BA8">
        <w:rPr>
          <w:lang w:val="en-GB"/>
        </w:rPr>
        <w:t>has so far</w:t>
      </w:r>
      <w:r w:rsidR="00E05545" w:rsidRPr="002A6BA8">
        <w:rPr>
          <w:lang w:val="en-GB"/>
        </w:rPr>
        <w:t xml:space="preserve"> remain</w:t>
      </w:r>
      <w:r w:rsidR="006C3563" w:rsidRPr="002A6BA8">
        <w:rPr>
          <w:lang w:val="en-GB"/>
        </w:rPr>
        <w:t>ed</w:t>
      </w:r>
      <w:r w:rsidR="00E05545" w:rsidRPr="002A6BA8">
        <w:rPr>
          <w:lang w:val="en-GB"/>
        </w:rPr>
        <w:t xml:space="preserve"> unexplored. </w:t>
      </w:r>
      <w:r w:rsidR="005E63BD" w:rsidRPr="002A6BA8">
        <w:rPr>
          <w:lang w:val="en-GB"/>
        </w:rPr>
        <w:t>W</w:t>
      </w:r>
      <w:r w:rsidR="008E16F0" w:rsidRPr="002A6BA8">
        <w:rPr>
          <w:lang w:val="en-GB"/>
        </w:rPr>
        <w:t>e</w:t>
      </w:r>
      <w:r w:rsidR="006C3563" w:rsidRPr="002A6BA8">
        <w:rPr>
          <w:lang w:val="en-GB"/>
        </w:rPr>
        <w:t xml:space="preserve"> identify</w:t>
      </w:r>
      <w:r w:rsidR="00E05545" w:rsidRPr="002A6BA8">
        <w:rPr>
          <w:lang w:val="en-GB"/>
        </w:rPr>
        <w:t xml:space="preserve"> the signature of </w:t>
      </w:r>
      <w:r w:rsidR="005E63BD" w:rsidRPr="002A6BA8">
        <w:rPr>
          <w:lang w:val="en-GB"/>
        </w:rPr>
        <w:t xml:space="preserve">three </w:t>
      </w:r>
      <w:r w:rsidR="00E05545" w:rsidRPr="002A6BA8">
        <w:rPr>
          <w:lang w:val="en-GB"/>
        </w:rPr>
        <w:t>conduction band</w:t>
      </w:r>
      <w:r w:rsidR="00D930ED" w:rsidRPr="002A6BA8">
        <w:rPr>
          <w:lang w:val="en-GB"/>
        </w:rPr>
        <w:t>-valence band transition</w:t>
      </w:r>
      <w:r w:rsidR="005E63BD" w:rsidRPr="002A6BA8">
        <w:rPr>
          <w:lang w:val="en-GB"/>
        </w:rPr>
        <w:t>s</w:t>
      </w:r>
      <w:r w:rsidR="00E05545" w:rsidRPr="002A6BA8">
        <w:rPr>
          <w:lang w:val="en-GB"/>
        </w:rPr>
        <w:t xml:space="preserve"> </w:t>
      </w:r>
      <w:r w:rsidR="00E7569A" w:rsidRPr="002A6BA8">
        <w:rPr>
          <w:lang w:val="en-GB"/>
        </w:rPr>
        <w:t>in the perovskite</w:t>
      </w:r>
      <w:r w:rsidR="006C3B75" w:rsidRPr="002A6BA8">
        <w:rPr>
          <w:lang w:val="en-GB"/>
        </w:rPr>
        <w:t xml:space="preserve"> </w:t>
      </w:r>
      <w:r w:rsidR="00DC494B" w:rsidRPr="002A6BA8">
        <w:rPr>
          <w:lang w:val="en-GB"/>
        </w:rPr>
        <w:t xml:space="preserve">manifested as </w:t>
      </w:r>
      <w:r w:rsidR="00E05545" w:rsidRPr="002A6BA8">
        <w:rPr>
          <w:lang w:val="en-GB"/>
        </w:rPr>
        <w:t xml:space="preserve">photobleaching </w:t>
      </w:r>
      <w:r w:rsidR="002C5D2D" w:rsidRPr="002A6BA8">
        <w:rPr>
          <w:lang w:val="en-GB"/>
        </w:rPr>
        <w:t>(</w:t>
      </w:r>
      <w:r w:rsidR="0098432A" w:rsidRPr="002A6BA8">
        <w:rPr>
          <w:lang w:val="en-GB"/>
        </w:rPr>
        <w:t>PB</w:t>
      </w:r>
      <w:r w:rsidR="002C5D2D" w:rsidRPr="002A6BA8">
        <w:rPr>
          <w:lang w:val="en-GB"/>
        </w:rPr>
        <w:t>)</w:t>
      </w:r>
      <w:r w:rsidR="0098432A" w:rsidRPr="002A6BA8">
        <w:rPr>
          <w:lang w:val="en-GB"/>
        </w:rPr>
        <w:t xml:space="preserve"> </w:t>
      </w:r>
      <w:r w:rsidR="00E05545" w:rsidRPr="002A6BA8">
        <w:rPr>
          <w:lang w:val="en-GB"/>
        </w:rPr>
        <w:t>band</w:t>
      </w:r>
      <w:r w:rsidR="005E63BD" w:rsidRPr="002A6BA8">
        <w:rPr>
          <w:lang w:val="en-GB"/>
        </w:rPr>
        <w:t>s</w:t>
      </w:r>
      <w:r w:rsidR="00E05545" w:rsidRPr="002A6BA8">
        <w:rPr>
          <w:lang w:val="en-GB"/>
        </w:rPr>
        <w:t xml:space="preserve"> </w:t>
      </w:r>
      <w:r w:rsidR="007D39CA" w:rsidRPr="002A6BA8">
        <w:rPr>
          <w:lang w:val="en-GB"/>
        </w:rPr>
        <w:t>which</w:t>
      </w:r>
      <w:r w:rsidR="00F9729F" w:rsidRPr="002A6BA8">
        <w:rPr>
          <w:lang w:val="en-GB"/>
        </w:rPr>
        <w:t xml:space="preserve"> are</w:t>
      </w:r>
      <w:r w:rsidR="00DC494B" w:rsidRPr="002A6BA8">
        <w:rPr>
          <w:lang w:val="en-GB"/>
        </w:rPr>
        <w:t xml:space="preserve"> </w:t>
      </w:r>
      <w:r w:rsidR="00E05545" w:rsidRPr="002A6BA8">
        <w:rPr>
          <w:lang w:val="en-GB"/>
        </w:rPr>
        <w:t>quenched upon the addition of the C</w:t>
      </w:r>
      <w:r w:rsidR="00E05545" w:rsidRPr="002A6BA8">
        <w:rPr>
          <w:vertAlign w:val="subscript"/>
          <w:lang w:val="en-GB"/>
        </w:rPr>
        <w:t>70</w:t>
      </w:r>
      <w:r w:rsidR="00E05545" w:rsidRPr="002A6BA8">
        <w:rPr>
          <w:lang w:val="en-GB"/>
        </w:rPr>
        <w:t xml:space="preserve"> dispersion, suggesting </w:t>
      </w:r>
      <w:r w:rsidR="005E63BD" w:rsidRPr="002A6BA8">
        <w:rPr>
          <w:lang w:val="en-GB"/>
        </w:rPr>
        <w:t>that t</w:t>
      </w:r>
      <w:r w:rsidR="008263C4" w:rsidRPr="002A6BA8">
        <w:rPr>
          <w:lang w:val="en-GB"/>
        </w:rPr>
        <w:t xml:space="preserve">he </w:t>
      </w:r>
      <w:r w:rsidR="00DC494B" w:rsidRPr="002A6BA8">
        <w:rPr>
          <w:lang w:val="en-GB"/>
        </w:rPr>
        <w:t xml:space="preserve">photoinduced </w:t>
      </w:r>
      <w:r w:rsidR="008263C4" w:rsidRPr="002A6BA8">
        <w:rPr>
          <w:lang w:val="en-GB"/>
        </w:rPr>
        <w:t xml:space="preserve">electrons </w:t>
      </w:r>
      <w:r w:rsidR="00DC494B" w:rsidRPr="002A6BA8">
        <w:rPr>
          <w:lang w:val="en-GB"/>
        </w:rPr>
        <w:t>in the perovskite</w:t>
      </w:r>
      <w:r w:rsidR="005E63BD" w:rsidRPr="002A6BA8">
        <w:rPr>
          <w:lang w:val="en-GB"/>
        </w:rPr>
        <w:t xml:space="preserve"> are transferred to the C</w:t>
      </w:r>
      <w:r w:rsidR="005E63BD" w:rsidRPr="002A6BA8">
        <w:rPr>
          <w:vertAlign w:val="subscript"/>
          <w:lang w:val="en-GB"/>
        </w:rPr>
        <w:t>70</w:t>
      </w:r>
      <w:r w:rsidR="00C94D9C" w:rsidRPr="002A6BA8">
        <w:rPr>
          <w:lang w:val="en-GB"/>
        </w:rPr>
        <w:t xml:space="preserve">. Although further work has to be done in order to fully </w:t>
      </w:r>
      <w:r w:rsidR="002059DF" w:rsidRPr="002A6BA8">
        <w:rPr>
          <w:lang w:val="en-GB"/>
        </w:rPr>
        <w:t>understand</w:t>
      </w:r>
      <w:r w:rsidR="00C94D9C" w:rsidRPr="002A6BA8">
        <w:rPr>
          <w:lang w:val="en-GB"/>
        </w:rPr>
        <w:t xml:space="preserve"> the </w:t>
      </w:r>
      <w:r w:rsidR="002059DF" w:rsidRPr="002A6BA8">
        <w:rPr>
          <w:lang w:val="en-GB"/>
        </w:rPr>
        <w:t>fate of the transferred electrons</w:t>
      </w:r>
      <w:r w:rsidR="00C94D9C" w:rsidRPr="002A6BA8">
        <w:rPr>
          <w:lang w:val="en-GB"/>
        </w:rPr>
        <w:t>,</w:t>
      </w:r>
      <w:r w:rsidR="00D930ED" w:rsidRPr="002A6BA8">
        <w:rPr>
          <w:lang w:val="en-GB"/>
        </w:rPr>
        <w:t xml:space="preserve"> the high </w:t>
      </w:r>
      <w:r w:rsidR="007D39CA" w:rsidRPr="002A6BA8">
        <w:rPr>
          <w:lang w:val="en-GB"/>
        </w:rPr>
        <w:t xml:space="preserve">device </w:t>
      </w:r>
      <w:r w:rsidR="00D930ED" w:rsidRPr="002A6BA8">
        <w:rPr>
          <w:lang w:val="en-GB"/>
        </w:rPr>
        <w:t xml:space="preserve">performances and </w:t>
      </w:r>
      <w:r w:rsidR="008C506D" w:rsidRPr="002A6BA8">
        <w:rPr>
          <w:i/>
          <w:lang w:val="de-DE"/>
        </w:rPr>
        <w:t>V</w:t>
      </w:r>
      <w:r w:rsidR="00912D6D" w:rsidRPr="002A6BA8">
        <w:rPr>
          <w:i/>
          <w:vertAlign w:val="subscript"/>
          <w:lang w:val="de-DE"/>
        </w:rPr>
        <w:t>OC</w:t>
      </w:r>
      <w:r w:rsidR="00D930ED" w:rsidRPr="002A6BA8">
        <w:rPr>
          <w:lang w:val="en-GB"/>
        </w:rPr>
        <w:t xml:space="preserve"> suggests that electrons are not deeply trapped in the C</w:t>
      </w:r>
      <w:r w:rsidR="00D930ED" w:rsidRPr="002A6BA8">
        <w:rPr>
          <w:vertAlign w:val="subscript"/>
          <w:lang w:val="en-GB"/>
        </w:rPr>
        <w:t xml:space="preserve">70 </w:t>
      </w:r>
      <w:r w:rsidR="00D930ED" w:rsidRPr="002A6BA8">
        <w:rPr>
          <w:lang w:val="en-GB"/>
        </w:rPr>
        <w:t xml:space="preserve">molecules but they can </w:t>
      </w:r>
      <w:r w:rsidR="002D6207">
        <w:rPr>
          <w:lang w:val="en-GB"/>
        </w:rPr>
        <w:t>be</w:t>
      </w:r>
      <w:r w:rsidR="00D930ED" w:rsidRPr="002A6BA8">
        <w:rPr>
          <w:lang w:val="en-GB"/>
        </w:rPr>
        <w:t xml:space="preserve"> transferred back to the perovskite, ensuring a</w:t>
      </w:r>
      <w:r w:rsidR="008D28E8" w:rsidRPr="002A6BA8">
        <w:rPr>
          <w:lang w:val="en-GB"/>
        </w:rPr>
        <w:t>n</w:t>
      </w:r>
      <w:r w:rsidR="00D930ED" w:rsidRPr="002A6BA8">
        <w:rPr>
          <w:lang w:val="en-GB"/>
        </w:rPr>
        <w:t xml:space="preserve"> efficient charge transport throughout the film, while possibly mitigating the charge trapping.  </w:t>
      </w:r>
    </w:p>
    <w:p w:rsidR="00E44051" w:rsidRPr="002A6BA8" w:rsidRDefault="00F03F94" w:rsidP="00A92DE8">
      <w:pPr>
        <w:pStyle w:val="MainText"/>
        <w:rPr>
          <w:lang w:eastAsia="en-GB"/>
        </w:rPr>
      </w:pPr>
      <w:r w:rsidRPr="002A6BA8">
        <w:rPr>
          <w:lang w:eastAsia="en-GB"/>
        </w:rPr>
        <w:t>Perovskite solar cells are prepared by using a</w:t>
      </w:r>
      <w:r w:rsidR="00E05545" w:rsidRPr="002A6BA8">
        <w:rPr>
          <w:lang w:eastAsia="en-GB"/>
        </w:rPr>
        <w:t xml:space="preserve"> mixed solution of MAPbI</w:t>
      </w:r>
      <w:r w:rsidR="00E05545" w:rsidRPr="002A6BA8">
        <w:rPr>
          <w:vertAlign w:val="subscript"/>
          <w:lang w:eastAsia="en-GB"/>
        </w:rPr>
        <w:t>3</w:t>
      </w:r>
      <w:r w:rsidR="00E05545" w:rsidRPr="002A6BA8">
        <w:rPr>
          <w:lang w:eastAsia="en-GB"/>
        </w:rPr>
        <w:t xml:space="preserve"> </w:t>
      </w:r>
      <w:r w:rsidRPr="002A6BA8">
        <w:rPr>
          <w:lang w:eastAsia="en-GB"/>
        </w:rPr>
        <w:t xml:space="preserve">(in </w:t>
      </w:r>
      <w:r w:rsidR="002D71CE" w:rsidRPr="002A6BA8">
        <w:rPr>
          <w:lang w:eastAsia="en-GB"/>
        </w:rPr>
        <w:t xml:space="preserve">dimethyl sulfoxide </w:t>
      </w:r>
      <w:r w:rsidR="00E05545" w:rsidRPr="002A6BA8">
        <w:rPr>
          <w:lang w:eastAsia="en-GB"/>
        </w:rPr>
        <w:t>(</w:t>
      </w:r>
      <w:r w:rsidR="00F5435B" w:rsidRPr="002A6BA8">
        <w:rPr>
          <w:lang w:eastAsia="en-GB"/>
        </w:rPr>
        <w:t>DMSO</w:t>
      </w:r>
      <w:r w:rsidR="00E05545" w:rsidRPr="002A6BA8">
        <w:rPr>
          <w:lang w:eastAsia="en-GB"/>
        </w:rPr>
        <w:t>)</w:t>
      </w:r>
      <w:r w:rsidRPr="002A6BA8">
        <w:rPr>
          <w:lang w:eastAsia="en-GB"/>
        </w:rPr>
        <w:t>, 1.25 M)</w:t>
      </w:r>
      <w:r w:rsidR="002D71CE" w:rsidRPr="002A6BA8">
        <w:rPr>
          <w:lang w:eastAsia="en-GB"/>
        </w:rPr>
        <w:t xml:space="preserve"> and </w:t>
      </w:r>
      <w:r w:rsidR="00E05545" w:rsidRPr="002A6BA8">
        <w:rPr>
          <w:lang w:eastAsia="en-GB"/>
        </w:rPr>
        <w:t>C</w:t>
      </w:r>
      <w:r w:rsidR="00E05545" w:rsidRPr="002A6BA8">
        <w:rPr>
          <w:vertAlign w:val="subscript"/>
          <w:lang w:eastAsia="en-GB"/>
        </w:rPr>
        <w:t>70</w:t>
      </w:r>
      <w:r w:rsidR="00E05545" w:rsidRPr="002A6BA8">
        <w:rPr>
          <w:lang w:eastAsia="en-GB"/>
        </w:rPr>
        <w:t xml:space="preserve"> </w:t>
      </w:r>
      <w:r w:rsidRPr="002A6BA8">
        <w:rPr>
          <w:lang w:eastAsia="en-GB"/>
        </w:rPr>
        <w:t>(</w:t>
      </w:r>
      <w:r w:rsidR="00C953A1" w:rsidRPr="002A6BA8">
        <w:rPr>
          <w:lang w:eastAsia="en-GB"/>
        </w:rPr>
        <w:t xml:space="preserve">in </w:t>
      </w:r>
      <w:r w:rsidR="00F95157" w:rsidRPr="002A6BA8">
        <w:rPr>
          <w:i/>
          <w:lang w:eastAsia="en-GB"/>
        </w:rPr>
        <w:t>o</w:t>
      </w:r>
      <w:r w:rsidR="00BB73DC" w:rsidRPr="002A6BA8">
        <w:rPr>
          <w:lang w:eastAsia="en-GB"/>
        </w:rPr>
        <w:t>-xylene (2 mg/mL)</w:t>
      </w:r>
      <w:r w:rsidRPr="002A6BA8">
        <w:rPr>
          <w:lang w:eastAsia="en-GB"/>
        </w:rPr>
        <w:t xml:space="preserve">), </w:t>
      </w:r>
      <w:r w:rsidR="00E05545" w:rsidRPr="002A6BA8">
        <w:rPr>
          <w:lang w:eastAsia="en-GB"/>
        </w:rPr>
        <w:t xml:space="preserve">at </w:t>
      </w:r>
      <w:r w:rsidR="002D71CE" w:rsidRPr="002A6BA8">
        <w:rPr>
          <w:lang w:eastAsia="en-GB"/>
        </w:rPr>
        <w:t>4:1</w:t>
      </w:r>
      <w:r w:rsidRPr="002A6BA8">
        <w:rPr>
          <w:lang w:eastAsia="en-GB"/>
        </w:rPr>
        <w:t xml:space="preserve"> </w:t>
      </w:r>
      <w:r w:rsidR="00BB73DC" w:rsidRPr="002A6BA8">
        <w:rPr>
          <w:lang w:eastAsia="en-GB"/>
        </w:rPr>
        <w:t>volume ratio</w:t>
      </w:r>
      <w:r w:rsidRPr="002A6BA8">
        <w:rPr>
          <w:lang w:eastAsia="en-GB"/>
        </w:rPr>
        <w:t>.</w:t>
      </w:r>
      <w:r w:rsidR="00BB73DC" w:rsidRPr="002A6BA8">
        <w:rPr>
          <w:lang w:eastAsia="en-GB"/>
        </w:rPr>
        <w:t xml:space="preserve"> </w:t>
      </w:r>
      <w:r w:rsidR="007D39CA" w:rsidRPr="002A6BA8">
        <w:rPr>
          <w:lang w:eastAsia="en-GB"/>
        </w:rPr>
        <w:t>By c</w:t>
      </w:r>
      <w:r w:rsidR="00E05545" w:rsidRPr="002A6BA8">
        <w:rPr>
          <w:lang w:eastAsia="en-GB"/>
        </w:rPr>
        <w:t xml:space="preserve">ontrolling the deposition conditions, via one-step spin coating method (see SI for further details), a uniform perovskite film with comparable </w:t>
      </w:r>
      <w:r w:rsidR="00685CC0" w:rsidRPr="002A6BA8">
        <w:rPr>
          <w:lang w:eastAsia="en-GB"/>
        </w:rPr>
        <w:t>thick</w:t>
      </w:r>
      <w:r w:rsidR="008160F3" w:rsidRPr="002A6BA8">
        <w:rPr>
          <w:lang w:eastAsia="en-GB"/>
        </w:rPr>
        <w:t>n</w:t>
      </w:r>
      <w:r w:rsidR="00685CC0" w:rsidRPr="002A6BA8">
        <w:rPr>
          <w:lang w:eastAsia="en-GB"/>
        </w:rPr>
        <w:t>es</w:t>
      </w:r>
      <w:r w:rsidR="008160F3" w:rsidRPr="002A6BA8">
        <w:rPr>
          <w:lang w:eastAsia="en-GB"/>
        </w:rPr>
        <w:t>s</w:t>
      </w:r>
      <w:r w:rsidR="00E05545" w:rsidRPr="002A6BA8">
        <w:rPr>
          <w:lang w:eastAsia="en-GB"/>
        </w:rPr>
        <w:t xml:space="preserve"> for both planar and mesoporous configuration</w:t>
      </w:r>
      <w:r w:rsidR="00D11E53" w:rsidRPr="002A6BA8">
        <w:rPr>
          <w:lang w:eastAsia="en-GB"/>
        </w:rPr>
        <w:t>s</w:t>
      </w:r>
      <w:r w:rsidR="00E05545" w:rsidRPr="002A6BA8">
        <w:rPr>
          <w:lang w:eastAsia="en-GB"/>
        </w:rPr>
        <w:t xml:space="preserve"> </w:t>
      </w:r>
      <w:r w:rsidR="007D39CA" w:rsidRPr="002A6BA8">
        <w:rPr>
          <w:lang w:eastAsia="en-GB"/>
        </w:rPr>
        <w:t xml:space="preserve">is obtained </w:t>
      </w:r>
      <w:r w:rsidR="00E05545" w:rsidRPr="002A6BA8">
        <w:rPr>
          <w:lang w:eastAsia="en-GB"/>
        </w:rPr>
        <w:t xml:space="preserve">(see </w:t>
      </w:r>
      <w:r w:rsidR="00AE7F3D" w:rsidRPr="002A6BA8">
        <w:rPr>
          <w:lang w:eastAsia="en-GB"/>
        </w:rPr>
        <w:t xml:space="preserve">absorption </w:t>
      </w:r>
      <w:r w:rsidR="00E05545" w:rsidRPr="002A6BA8">
        <w:rPr>
          <w:lang w:eastAsia="en-GB"/>
        </w:rPr>
        <w:t xml:space="preserve">spectra and </w:t>
      </w:r>
      <w:r w:rsidR="00976155" w:rsidRPr="002A6BA8">
        <w:rPr>
          <w:lang w:eastAsia="en-GB"/>
        </w:rPr>
        <w:t>scanning electro-microscop</w:t>
      </w:r>
      <w:r w:rsidR="00A0217C" w:rsidRPr="002A6BA8">
        <w:rPr>
          <w:lang w:eastAsia="en-GB"/>
        </w:rPr>
        <w:t>y</w:t>
      </w:r>
      <w:r w:rsidR="00976155" w:rsidRPr="002A6BA8">
        <w:rPr>
          <w:lang w:eastAsia="en-GB"/>
        </w:rPr>
        <w:t xml:space="preserve"> (</w:t>
      </w:r>
      <w:r w:rsidR="00E05545" w:rsidRPr="002A6BA8">
        <w:rPr>
          <w:lang w:eastAsia="en-GB"/>
        </w:rPr>
        <w:t>SEM</w:t>
      </w:r>
      <w:r w:rsidR="00976155" w:rsidRPr="002A6BA8">
        <w:rPr>
          <w:lang w:eastAsia="en-GB"/>
        </w:rPr>
        <w:t>)</w:t>
      </w:r>
      <w:r w:rsidR="00E05545" w:rsidRPr="002A6BA8">
        <w:rPr>
          <w:lang w:eastAsia="en-GB"/>
        </w:rPr>
        <w:t xml:space="preserve"> images in Figures S1-S2). Upon the addition of C</w:t>
      </w:r>
      <w:r w:rsidR="00E05545" w:rsidRPr="002A6BA8">
        <w:rPr>
          <w:vertAlign w:val="subscript"/>
          <w:lang w:eastAsia="en-GB"/>
        </w:rPr>
        <w:t>70</w:t>
      </w:r>
      <w:r w:rsidR="00E05545" w:rsidRPr="002A6BA8">
        <w:rPr>
          <w:lang w:eastAsia="en-GB"/>
        </w:rPr>
        <w:t xml:space="preserve"> </w:t>
      </w:r>
      <w:r w:rsidR="00D930ED" w:rsidRPr="002A6BA8">
        <w:rPr>
          <w:lang w:eastAsia="en-GB"/>
        </w:rPr>
        <w:t xml:space="preserve">dispersion, </w:t>
      </w:r>
      <w:r w:rsidR="00E05545" w:rsidRPr="002A6BA8">
        <w:rPr>
          <w:lang w:eastAsia="en-GB"/>
        </w:rPr>
        <w:t>the absorption spectrum remains unaltered, due to the very small amount</w:t>
      </w:r>
      <w:r w:rsidR="00866C50" w:rsidRPr="002A6BA8">
        <w:rPr>
          <w:lang w:eastAsia="en-GB"/>
        </w:rPr>
        <w:t xml:space="preserve"> </w:t>
      </w:r>
      <w:r w:rsidR="00E05545" w:rsidRPr="002A6BA8">
        <w:rPr>
          <w:lang w:eastAsia="en-GB"/>
        </w:rPr>
        <w:t>of C</w:t>
      </w:r>
      <w:r w:rsidR="00E05545" w:rsidRPr="002A6BA8">
        <w:rPr>
          <w:vertAlign w:val="subscript"/>
          <w:lang w:eastAsia="en-GB"/>
        </w:rPr>
        <w:t>70</w:t>
      </w:r>
      <w:r w:rsidR="00E05545" w:rsidRPr="002A6BA8">
        <w:rPr>
          <w:lang w:eastAsia="en-GB"/>
        </w:rPr>
        <w:t xml:space="preserve"> </w:t>
      </w:r>
      <w:r w:rsidR="007D39CA" w:rsidRPr="002A6BA8">
        <w:rPr>
          <w:lang w:eastAsia="en-GB"/>
        </w:rPr>
        <w:t xml:space="preserve">added </w:t>
      </w:r>
      <w:r w:rsidR="00866C50" w:rsidRPr="002A6BA8">
        <w:rPr>
          <w:lang w:eastAsia="en-GB"/>
        </w:rPr>
        <w:t>(0.0</w:t>
      </w:r>
      <w:r w:rsidR="00D5555E" w:rsidRPr="002A6BA8">
        <w:rPr>
          <w:lang w:eastAsia="en-GB"/>
        </w:rPr>
        <w:t>7</w:t>
      </w:r>
      <w:r w:rsidR="00866C50" w:rsidRPr="002A6BA8">
        <w:rPr>
          <w:lang w:eastAsia="en-GB"/>
        </w:rPr>
        <w:t xml:space="preserve"> % in weight)</w:t>
      </w:r>
      <w:r w:rsidR="00D930ED" w:rsidRPr="002A6BA8">
        <w:rPr>
          <w:lang w:eastAsia="en-GB"/>
        </w:rPr>
        <w:t xml:space="preserve"> </w:t>
      </w:r>
      <w:r w:rsidR="00E05545" w:rsidRPr="002A6BA8">
        <w:rPr>
          <w:lang w:eastAsia="en-GB"/>
        </w:rPr>
        <w:t>(</w:t>
      </w:r>
      <w:r w:rsidR="00E05545" w:rsidRPr="002A6BA8">
        <w:rPr>
          <w:b/>
          <w:lang w:eastAsia="en-GB"/>
        </w:rPr>
        <w:t>Figure 1a</w:t>
      </w:r>
      <w:r w:rsidR="00E05545" w:rsidRPr="002A6BA8">
        <w:rPr>
          <w:lang w:eastAsia="en-GB"/>
        </w:rPr>
        <w:t xml:space="preserve">). </w:t>
      </w:r>
      <w:r w:rsidR="00D930ED" w:rsidRPr="002A6BA8">
        <w:rPr>
          <w:lang w:eastAsia="en-GB"/>
        </w:rPr>
        <w:t xml:space="preserve">Note that </w:t>
      </w:r>
      <w:r w:rsidR="007D39CA" w:rsidRPr="002A6BA8">
        <w:rPr>
          <w:lang w:eastAsia="en-GB"/>
        </w:rPr>
        <w:t>considering</w:t>
      </w:r>
      <w:r w:rsidR="00D930ED" w:rsidRPr="002A6BA8">
        <w:rPr>
          <w:lang w:eastAsia="en-GB"/>
        </w:rPr>
        <w:t xml:space="preserve"> the density of perovskite and C</w:t>
      </w:r>
      <w:r w:rsidR="00D930ED" w:rsidRPr="002A6BA8">
        <w:rPr>
          <w:vertAlign w:val="subscript"/>
          <w:lang w:eastAsia="en-GB"/>
        </w:rPr>
        <w:t>70</w:t>
      </w:r>
      <w:r w:rsidR="00D930ED" w:rsidRPr="002A6BA8">
        <w:rPr>
          <w:lang w:eastAsia="en-GB"/>
        </w:rPr>
        <w:t xml:space="preserve"> (</w:t>
      </w:r>
      <w:r w:rsidR="00D930ED" w:rsidRPr="002A6BA8">
        <w:rPr>
          <w:rFonts w:ascii="Symbol" w:hAnsi="Symbol"/>
          <w:lang w:eastAsia="en-GB"/>
        </w:rPr>
        <w:t></w:t>
      </w:r>
      <w:r w:rsidR="00D930ED" w:rsidRPr="002A6BA8">
        <w:rPr>
          <w:vertAlign w:val="subscript"/>
          <w:lang w:eastAsia="en-GB"/>
        </w:rPr>
        <w:t>p</w:t>
      </w:r>
      <w:r w:rsidR="00D930ED" w:rsidRPr="002A6BA8">
        <w:rPr>
          <w:lang w:eastAsia="en-GB"/>
        </w:rPr>
        <w:t>=6.68 10</w:t>
      </w:r>
      <w:r w:rsidR="00D930ED" w:rsidRPr="002A6BA8">
        <w:rPr>
          <w:vertAlign w:val="superscript"/>
          <w:lang w:eastAsia="en-GB"/>
        </w:rPr>
        <w:t xml:space="preserve">-3 </w:t>
      </w:r>
      <w:r w:rsidR="000F1CE8" w:rsidRPr="002A6BA8">
        <w:rPr>
          <w:sz w:val="20"/>
          <w:lang w:val="de-DE" w:eastAsia="en-GB"/>
        </w:rPr>
        <w:t>mol</w:t>
      </w:r>
      <w:r w:rsidR="00D930ED" w:rsidRPr="002A6BA8">
        <w:rPr>
          <w:lang w:eastAsia="en-GB"/>
        </w:rPr>
        <w:t>/cm</w:t>
      </w:r>
      <w:r w:rsidR="00D930ED" w:rsidRPr="002A6BA8">
        <w:rPr>
          <w:vertAlign w:val="superscript"/>
          <w:lang w:eastAsia="en-GB"/>
        </w:rPr>
        <w:t>3</w:t>
      </w:r>
      <w:r w:rsidR="00D930ED" w:rsidRPr="002A6BA8">
        <w:rPr>
          <w:lang w:eastAsia="en-GB"/>
        </w:rPr>
        <w:t xml:space="preserve"> and </w:t>
      </w:r>
      <w:r w:rsidR="00D930ED" w:rsidRPr="002A6BA8">
        <w:rPr>
          <w:rFonts w:ascii="Symbol" w:hAnsi="Symbol"/>
          <w:lang w:eastAsia="en-GB"/>
        </w:rPr>
        <w:t></w:t>
      </w:r>
      <w:r w:rsidR="00D930ED" w:rsidRPr="002A6BA8">
        <w:rPr>
          <w:vertAlign w:val="subscript"/>
          <w:lang w:eastAsia="en-GB"/>
        </w:rPr>
        <w:t>C70</w:t>
      </w:r>
      <w:r w:rsidR="00D930ED" w:rsidRPr="002A6BA8">
        <w:rPr>
          <w:lang w:eastAsia="en-GB"/>
        </w:rPr>
        <w:t>= 2.38 10</w:t>
      </w:r>
      <w:r w:rsidR="00D930ED" w:rsidRPr="002A6BA8">
        <w:rPr>
          <w:vertAlign w:val="superscript"/>
          <w:lang w:eastAsia="en-GB"/>
        </w:rPr>
        <w:t xml:space="preserve">-3 </w:t>
      </w:r>
      <w:r w:rsidR="000F1CE8" w:rsidRPr="002A6BA8">
        <w:rPr>
          <w:sz w:val="20"/>
          <w:lang w:val="de-DE" w:eastAsia="en-GB"/>
        </w:rPr>
        <w:t>mol</w:t>
      </w:r>
      <w:r w:rsidR="00D930ED" w:rsidRPr="002A6BA8">
        <w:rPr>
          <w:lang w:eastAsia="en-GB"/>
        </w:rPr>
        <w:t>/cm</w:t>
      </w:r>
      <w:r w:rsidR="00D930ED" w:rsidRPr="002A6BA8">
        <w:rPr>
          <w:vertAlign w:val="superscript"/>
          <w:lang w:eastAsia="en-GB"/>
        </w:rPr>
        <w:t>3</w:t>
      </w:r>
      <w:r w:rsidR="00D930ED" w:rsidRPr="002A6BA8">
        <w:rPr>
          <w:lang w:eastAsia="en-GB"/>
        </w:rPr>
        <w:t xml:space="preserve">, respectively), </w:t>
      </w:r>
      <w:r w:rsidR="007D39CA" w:rsidRPr="002A6BA8">
        <w:rPr>
          <w:lang w:eastAsia="en-GB"/>
        </w:rPr>
        <w:t>such concentration</w:t>
      </w:r>
      <w:r w:rsidR="00D930ED" w:rsidRPr="002A6BA8">
        <w:rPr>
          <w:lang w:eastAsia="en-GB"/>
        </w:rPr>
        <w:t xml:space="preserve"> </w:t>
      </w:r>
      <w:r w:rsidR="007D39CA" w:rsidRPr="002A6BA8">
        <w:rPr>
          <w:lang w:eastAsia="en-GB"/>
        </w:rPr>
        <w:t>implies</w:t>
      </w:r>
      <w:r w:rsidR="00D930ED" w:rsidRPr="002A6BA8">
        <w:rPr>
          <w:lang w:eastAsia="en-GB"/>
        </w:rPr>
        <w:t xml:space="preserve"> 0.14% of volume occupied by the C</w:t>
      </w:r>
      <w:r w:rsidR="00D930ED" w:rsidRPr="002A6BA8">
        <w:rPr>
          <w:vertAlign w:val="subscript"/>
          <w:lang w:eastAsia="en-GB"/>
        </w:rPr>
        <w:t>70</w:t>
      </w:r>
      <w:r w:rsidR="00D930ED" w:rsidRPr="002A6BA8">
        <w:rPr>
          <w:lang w:eastAsia="en-GB"/>
        </w:rPr>
        <w:t xml:space="preserve"> with respect to MAPbI</w:t>
      </w:r>
      <w:r w:rsidR="00D930ED" w:rsidRPr="002A6BA8">
        <w:rPr>
          <w:vertAlign w:val="subscript"/>
          <w:lang w:eastAsia="en-GB"/>
        </w:rPr>
        <w:t>3</w:t>
      </w:r>
      <w:r w:rsidR="00D930ED" w:rsidRPr="002A6BA8">
        <w:rPr>
          <w:lang w:eastAsia="en-GB"/>
        </w:rPr>
        <w:t xml:space="preserve">. </w:t>
      </w:r>
      <w:r w:rsidR="007D39CA" w:rsidRPr="002A6BA8">
        <w:rPr>
          <w:lang w:eastAsia="en-GB"/>
        </w:rPr>
        <w:t>This</w:t>
      </w:r>
      <w:r w:rsidR="00D930ED" w:rsidRPr="002A6BA8">
        <w:rPr>
          <w:lang w:eastAsia="en-GB"/>
        </w:rPr>
        <w:t xml:space="preserve"> prevents the formation of large C</w:t>
      </w:r>
      <w:r w:rsidR="00D930ED" w:rsidRPr="002A6BA8">
        <w:rPr>
          <w:vertAlign w:val="subscript"/>
          <w:lang w:eastAsia="en-GB"/>
        </w:rPr>
        <w:t>70</w:t>
      </w:r>
      <w:r w:rsidR="00D930ED" w:rsidRPr="002A6BA8">
        <w:rPr>
          <w:lang w:eastAsia="en-GB"/>
        </w:rPr>
        <w:t xml:space="preserve"> domains</w:t>
      </w:r>
      <w:r w:rsidR="008263C4" w:rsidRPr="002A6BA8">
        <w:rPr>
          <w:lang w:eastAsia="en-GB"/>
        </w:rPr>
        <w:t xml:space="preserve"> </w:t>
      </w:r>
      <w:r w:rsidR="007D39CA" w:rsidRPr="002A6BA8">
        <w:rPr>
          <w:lang w:eastAsia="en-GB"/>
        </w:rPr>
        <w:t>ensuring a proper</w:t>
      </w:r>
      <w:r w:rsidR="00F438B4" w:rsidRPr="002A6BA8">
        <w:rPr>
          <w:lang w:eastAsia="en-GB"/>
        </w:rPr>
        <w:t xml:space="preserve"> dispers</w:t>
      </w:r>
      <w:r w:rsidR="007D39CA" w:rsidRPr="002A6BA8">
        <w:rPr>
          <w:lang w:eastAsia="en-GB"/>
        </w:rPr>
        <w:t>ion</w:t>
      </w:r>
      <w:r w:rsidR="00F438B4" w:rsidRPr="002A6BA8">
        <w:rPr>
          <w:lang w:eastAsia="en-GB"/>
        </w:rPr>
        <w:t xml:space="preserve"> </w:t>
      </w:r>
      <w:r w:rsidR="007D39CA" w:rsidRPr="002A6BA8">
        <w:rPr>
          <w:lang w:eastAsia="en-GB"/>
        </w:rPr>
        <w:t>with</w:t>
      </w:r>
      <w:r w:rsidR="008263C4" w:rsidRPr="002A6BA8">
        <w:rPr>
          <w:lang w:eastAsia="en-GB"/>
        </w:rPr>
        <w:t xml:space="preserve">in </w:t>
      </w:r>
      <w:r w:rsidR="007D39CA" w:rsidRPr="002A6BA8">
        <w:rPr>
          <w:lang w:eastAsia="en-GB"/>
        </w:rPr>
        <w:t>MAPbI</w:t>
      </w:r>
      <w:r w:rsidR="007D39CA" w:rsidRPr="002A6BA8">
        <w:rPr>
          <w:vertAlign w:val="subscript"/>
          <w:lang w:eastAsia="en-GB"/>
        </w:rPr>
        <w:t>3</w:t>
      </w:r>
      <w:r w:rsidR="008263C4" w:rsidRPr="002A6BA8">
        <w:rPr>
          <w:lang w:eastAsia="en-GB"/>
        </w:rPr>
        <w:t xml:space="preserve">, possibly </w:t>
      </w:r>
      <w:r w:rsidR="00D930ED" w:rsidRPr="002A6BA8">
        <w:rPr>
          <w:lang w:eastAsia="en-GB"/>
        </w:rPr>
        <w:t>infiltrating</w:t>
      </w:r>
      <w:r w:rsidR="008263C4" w:rsidRPr="002A6BA8">
        <w:rPr>
          <w:lang w:eastAsia="en-GB"/>
        </w:rPr>
        <w:t xml:space="preserve"> at the</w:t>
      </w:r>
      <w:r w:rsidR="007D39CA" w:rsidRPr="002A6BA8">
        <w:rPr>
          <w:lang w:eastAsia="en-GB"/>
        </w:rPr>
        <w:t xml:space="preserve"> crystal</w:t>
      </w:r>
      <w:r w:rsidR="008263C4" w:rsidRPr="002A6BA8">
        <w:rPr>
          <w:lang w:eastAsia="en-GB"/>
        </w:rPr>
        <w:t xml:space="preserve"> grain boundaries. </w:t>
      </w:r>
      <w:r w:rsidR="007D39CA" w:rsidRPr="002A6BA8">
        <w:rPr>
          <w:lang w:eastAsia="en-GB"/>
        </w:rPr>
        <w:t xml:space="preserve">Indeed, as </w:t>
      </w:r>
      <w:r w:rsidR="007D39CA" w:rsidRPr="002A6BA8">
        <w:rPr>
          <w:lang w:eastAsia="en-GB"/>
        </w:rPr>
        <w:lastRenderedPageBreak/>
        <w:t xml:space="preserve">observed in the SEM image (Figures 1 b-e), no evidence of coarse phase segregation is visible. </w:t>
      </w:r>
      <w:r w:rsidR="00E05545" w:rsidRPr="002A6BA8">
        <w:rPr>
          <w:lang w:eastAsia="en-GB"/>
        </w:rPr>
        <w:t>On the other side,</w:t>
      </w:r>
      <w:r w:rsidR="005E63BD" w:rsidRPr="002A6BA8">
        <w:rPr>
          <w:lang w:eastAsia="en-GB"/>
        </w:rPr>
        <w:t xml:space="preserve"> addition of C</w:t>
      </w:r>
      <w:r w:rsidR="005E63BD" w:rsidRPr="002A6BA8">
        <w:rPr>
          <w:vertAlign w:val="subscript"/>
          <w:lang w:eastAsia="en-GB"/>
        </w:rPr>
        <w:t>70</w:t>
      </w:r>
      <w:r w:rsidR="00E05545" w:rsidRPr="002A6BA8">
        <w:rPr>
          <w:lang w:eastAsia="en-GB"/>
        </w:rPr>
        <w:t xml:space="preserve"> </w:t>
      </w:r>
      <w:r w:rsidR="005E63BD" w:rsidRPr="002A6BA8">
        <w:rPr>
          <w:lang w:eastAsia="en-GB"/>
        </w:rPr>
        <w:t xml:space="preserve">yields to </w:t>
      </w:r>
      <w:r w:rsidR="00E05545" w:rsidRPr="002A6BA8">
        <w:rPr>
          <w:lang w:eastAsia="en-GB"/>
        </w:rPr>
        <w:t xml:space="preserve">a smoother morphology with a </w:t>
      </w:r>
      <w:r w:rsidR="008F2F36" w:rsidRPr="002A6BA8">
        <w:rPr>
          <w:lang w:eastAsia="en-GB"/>
        </w:rPr>
        <w:t>good film</w:t>
      </w:r>
      <w:r w:rsidR="00E05545" w:rsidRPr="002A6BA8">
        <w:rPr>
          <w:lang w:eastAsia="en-GB"/>
        </w:rPr>
        <w:t xml:space="preserve"> coverage</w:t>
      </w:r>
      <w:r w:rsidR="00E44051" w:rsidRPr="002A6BA8">
        <w:rPr>
          <w:lang w:eastAsia="en-GB"/>
        </w:rPr>
        <w:t xml:space="preserve"> (Figures 1 b-c, 1d-e and Figure S3).</w:t>
      </w:r>
      <w:r w:rsidR="00E05545" w:rsidRPr="002A6BA8">
        <w:rPr>
          <w:lang w:eastAsia="en-GB"/>
        </w:rPr>
        <w:t xml:space="preserve"> </w:t>
      </w:r>
      <w:r w:rsidR="00201036" w:rsidRPr="002A6BA8">
        <w:rPr>
          <w:lang w:eastAsia="en-GB"/>
        </w:rPr>
        <w:t>Such o</w:t>
      </w:r>
      <w:r w:rsidR="00E44051" w:rsidRPr="002A6BA8">
        <w:rPr>
          <w:lang w:eastAsia="en-GB"/>
        </w:rPr>
        <w:t xml:space="preserve">ptimal coverage is particularly important for the ETL-free configuration in reducing the resistance shunting paths which usually limit the PCE of this architecture below 14% </w:t>
      </w:r>
      <w:r w:rsidR="00E44051" w:rsidRPr="002A6BA8">
        <w:rPr>
          <w:lang w:eastAsia="en-GB"/>
        </w:rPr>
        <w:fldChar w:fldCharType="begin"/>
      </w:r>
      <w:r w:rsidR="00E44051" w:rsidRPr="002A6BA8">
        <w:rPr>
          <w:lang w:eastAsia="en-GB"/>
        </w:rPr>
        <w:instrText xml:space="preserve"> ADDIN ZOTERO_ITEM CSL_CITATION {"citationID":"u9nfpch05","properties":{"formattedCitation":"{\\rtf \\super [24\\uc0\\u8211{}26]\\nosupersub{}}","plainCitation":"[24–26]"},"citationItems":[{"id":618,"uris":["http://zotero.org/users/local/6uiBC8Ma/items/7D6GS5XN"],"uri":["http://zotero.org/users/local/6uiBC8Ma/items/7D6GS5XN"],"itemData":{"id":618,"type":"article-journal","title":"Modified Fullerenes for Efficient Electron Transport Layer-Free Perovskite/Fullerene Blend-Based Solar Cells","container-title":"ChemSusChem","page":"2023-2029","volume":"10","issue":"9","source":"Wiley Online Library","abstract":"A variety of novel chemically modified fullerenes, showing different electron-accepting capabilities, has been synthesized and used to prepare electron transport layer (ETL)-free solar cells based on perovskite/fullerene blends. In particular, isoxazolino[60] fullerenes are proven to be a good candidate for processing blend films with CH3NH3PbI3 and obtaining enhanced power conversion efficiency (PCE) ETL-free perovskite solar cells (PSCs), improving the state-of-the-art PCE (i.e., 14.3 %) for this simplified device architecture. A beneficial effect for pyrazolino and methano[60]fullerene derivatives versus pristine [60]/fullerene is also shown. Furthermore, a clear correlation between the LUMO energy level of the fullerene component and the open circuit voltage of the solar cells is found. Apart from the new knowledge on innovative fullerene derivatives for PSCs, the universality and versatility of perovskite/fullerene blend films to obtain efficient ETL-free PSCs is demonstrated.","DOI":"10.1002/cssc.201700180","ISSN":"1864-564X","journalAbbreviation":"ChemSusChem","language":"en","author":[{"family":"Sandoval-Torrientes","given":"Rafael"},{"family":"Pascual","given":"Jorge"},{"family":"García-Benito","given":"Inés"},{"family":"Collavini","given":"Silvia"},{"family":"Kosta","given":"Ivet"},{"family":"Tena-Zaera","given":"Ramón"},{"family":"Martín","given":"Nazario"},{"family":"Delgado","given":"Juan Luis"}],"issued":{"date-parts":[["2017",5,9]]}}},{"id":621,"uris":["http://zotero.org/users/local/6uiBC8Ma/items/GJNSAFG2"],"uri":["http://zotero.org/users/local/6uiBC8Ma/items/GJNSAFG2"],"itemData":{"id":621,"type":"article-journal","title":"Compact Layer Free Perovskite Solar Cells with 13.5% Efficiency","container-title":"Journal of the American Chemical Society","page":"17116-17122","volume":"136","issue":"49","source":"ACS Publications","abstract":"The recent breakthrough of organometal halide perovskites as the light harvesting layer in photovoltaic devices has led to power conversion efficiencies of over 16%. To date, most perovskite solar cells have adopted a structure in which the perovskite light absorber is placed between carrier-selective electron- and hole-transport layers (ETLs and HTLs). Here we report a new type of compact layer free bilayer perovskite solar cell and conclusively demonstrate that the ETL is not a prerequisite for obtaining excellent device efficiencies. We obtained power co</w:instrText>
      </w:r>
      <w:r w:rsidR="00E44051" w:rsidRPr="002A6BA8">
        <w:rPr>
          <w:rFonts w:hint="eastAsia"/>
          <w:lang w:eastAsia="en-GB"/>
        </w:rPr>
        <w:instrText>nversion efficiencies of up to 11.6% and 13.5% when using poly(3-hexylthiophene) and 2,2</w:instrText>
      </w:r>
      <w:r w:rsidR="00E44051" w:rsidRPr="002A6BA8">
        <w:rPr>
          <w:rFonts w:hint="eastAsia"/>
          <w:lang w:eastAsia="en-GB"/>
        </w:rPr>
        <w:instrText>′</w:instrText>
      </w:r>
      <w:r w:rsidR="00E44051" w:rsidRPr="002A6BA8">
        <w:rPr>
          <w:rFonts w:hint="eastAsia"/>
          <w:lang w:eastAsia="en-GB"/>
        </w:rPr>
        <w:instrText>,7,7</w:instrText>
      </w:r>
      <w:r w:rsidR="00E44051" w:rsidRPr="002A6BA8">
        <w:rPr>
          <w:rFonts w:hint="eastAsia"/>
          <w:lang w:eastAsia="en-GB"/>
        </w:rPr>
        <w:instrText>′</w:instrText>
      </w:r>
      <w:r w:rsidR="00E44051" w:rsidRPr="002A6BA8">
        <w:rPr>
          <w:rFonts w:hint="eastAsia"/>
          <w:lang w:eastAsia="en-GB"/>
        </w:rPr>
        <w:instrText>-tetrakis(N,N-di(4-methoxyphenyl)amino)-9,9</w:instrText>
      </w:r>
      <w:r w:rsidR="00E44051" w:rsidRPr="002A6BA8">
        <w:rPr>
          <w:rFonts w:hint="eastAsia"/>
          <w:lang w:eastAsia="en-GB"/>
        </w:rPr>
        <w:instrText>′</w:instrText>
      </w:r>
      <w:r w:rsidR="00E44051" w:rsidRPr="002A6BA8">
        <w:rPr>
          <w:rFonts w:hint="eastAsia"/>
          <w:lang w:eastAsia="en-GB"/>
        </w:rPr>
        <w:instrText xml:space="preserve">-spirobifluorene, respectively, as the hole-transport material. This performance is very comparable to that obtained </w:instrText>
      </w:r>
      <w:r w:rsidR="00E44051" w:rsidRPr="002A6BA8">
        <w:rPr>
          <w:lang w:eastAsia="en-GB"/>
        </w:rPr>
        <w:instrText xml:space="preserve">with the use of a ZnO ETL. Impedance spectroscopy suggests that while eliminating the ZnO leads to an increase in contact resistance, this is offset by a substantial decrease in surface recombination.","DOI":"10.1021/ja508758k","ISSN":"0002-7863","journalAbbreviation":"J. Am. Chem. Soc.","author":[{"family":"Liu","given":"Dianyi"},{"family":"Yang","given":"Jinli"},{"family":"Kelly","given":"Timothy L."}],"issued":{"date-parts":[["2014",12,10]]}}},{"id":735,"uris":["http://zotero.org/users/local/6uiBC8Ma/items/A8DD4K9D"],"uri":["http://zotero.org/users/local/6uiBC8Ma/items/A8DD4K9D"],"itemData":{"id":735,"type":"article-journal","title":"Electron Transport Layer-Free Solar Cells Based on Perovskite–Fullerene Blend Films with Enhanced Performance and Stability","container-title":"ChemSusChem","page":"2679-2685","volume":"9","issue":"18","source":"Wiley Online Library","abstract":"The solution processing of pinhole-free methylammonium lead triiodide perovskite–C70 fullerene (MAPbI3:C70) blend films on fluorine-doped tin oxide (FTO)-coated glass substrates is presented. Based on this approach, a simplified and robust protocol for the preparation of efficient electron-transport layer (ETL)-free perovskite solar cells is described. Power conversion efficiency (PCE) of 13.6 % under AM 1.5 G simulated sunlight is demonstrated for these devices. Comparative impedance spectroscopy and photostability analysis of the MAPbI3:C70 and single MAPbI3 films compared with conventional compact TiO2 ETL-based devices are shown. The beneficial impact of using MAPbI3:C70 blend films is emphasized.","DOI":"10.1002/cssc.201600940","ISSN":"1864-564X","journalAbbreviation":"ChemSusChem","language":"en","author":[{"family":"Pascual","given":"Jorge"},{"family":"Kosta","given":"Ivet"},{"family":"Tuyen Ngo","given":"T."},{"family":"Chuvilin","given":"Andrey"},{"family":"Cabanero","given":"German"},{"family":"Grande","given":"Hans J."},{"family":"Barea","given":"Eva M."},{"family":"Mora-Seró","given":"Iván"},{"family":"Delgado","given":"Juan Luis"},{"family":"Tena-Zaera","given":"Ramon"}],"issued":{"date-parts":[["2016",9,22]]}}}],"schema":"https://github.com/citation-style-language/schema/raw/master/csl-citation.json"} </w:instrText>
      </w:r>
      <w:r w:rsidR="00E44051" w:rsidRPr="002A6BA8">
        <w:rPr>
          <w:lang w:eastAsia="en-GB"/>
        </w:rPr>
        <w:fldChar w:fldCharType="separate"/>
      </w:r>
      <w:r w:rsidR="00E44051" w:rsidRPr="002A6BA8">
        <w:rPr>
          <w:vertAlign w:val="superscript"/>
        </w:rPr>
        <w:t>[24–26]</w:t>
      </w:r>
      <w:r w:rsidR="00E44051" w:rsidRPr="002A6BA8">
        <w:rPr>
          <w:lang w:eastAsia="en-GB"/>
        </w:rPr>
        <w:fldChar w:fldCharType="end"/>
      </w:r>
      <w:r w:rsidR="00E44051" w:rsidRPr="002A6BA8">
        <w:rPr>
          <w:lang w:eastAsia="en-GB"/>
        </w:rPr>
        <w:t>. Furthermore, C</w:t>
      </w:r>
      <w:r w:rsidR="00E44051" w:rsidRPr="002A6BA8">
        <w:rPr>
          <w:vertAlign w:val="subscript"/>
          <w:lang w:eastAsia="en-GB"/>
        </w:rPr>
        <w:t>70</w:t>
      </w:r>
      <w:r w:rsidR="00E44051" w:rsidRPr="002A6BA8">
        <w:rPr>
          <w:lang w:eastAsia="en-GB"/>
        </w:rPr>
        <w:t xml:space="preserve"> assists the growth of highly crystalline films (see also X-ray diffraction pattern in Figure S4) with </w:t>
      </w:r>
      <w:r w:rsidR="008F2F36" w:rsidRPr="002A6BA8">
        <w:rPr>
          <w:lang w:eastAsia="en-GB"/>
        </w:rPr>
        <w:t>a reduced density of pinholes</w:t>
      </w:r>
      <w:r w:rsidR="00F438B4" w:rsidRPr="002A6BA8">
        <w:rPr>
          <w:lang w:eastAsia="en-GB"/>
        </w:rPr>
        <w:t xml:space="preserve">. </w:t>
      </w:r>
    </w:p>
    <w:p w:rsidR="009A52C7" w:rsidRPr="002A6BA8" w:rsidRDefault="00E05545" w:rsidP="00A92DE8">
      <w:pPr>
        <w:pStyle w:val="MainText"/>
        <w:rPr>
          <w:lang w:eastAsia="en-GB"/>
        </w:rPr>
      </w:pPr>
      <w:r w:rsidRPr="002A6BA8">
        <w:rPr>
          <w:lang w:eastAsia="en-GB"/>
        </w:rPr>
        <w:t>Figure 1f reports the steady-state</w:t>
      </w:r>
      <w:r w:rsidR="000476D5" w:rsidRPr="002A6BA8">
        <w:rPr>
          <w:lang w:eastAsia="en-GB"/>
        </w:rPr>
        <w:t xml:space="preserve"> </w:t>
      </w:r>
      <w:r w:rsidRPr="002A6BA8">
        <w:rPr>
          <w:lang w:eastAsia="en-GB"/>
        </w:rPr>
        <w:t>PL spectra (dotted lines) of the MAPbI</w:t>
      </w:r>
      <w:r w:rsidRPr="002A6BA8">
        <w:rPr>
          <w:vertAlign w:val="subscript"/>
          <w:lang w:eastAsia="en-GB"/>
        </w:rPr>
        <w:t>3</w:t>
      </w:r>
      <w:r w:rsidRPr="002A6BA8">
        <w:rPr>
          <w:lang w:eastAsia="en-GB"/>
        </w:rPr>
        <w:t xml:space="preserve"> and MAPbI</w:t>
      </w:r>
      <w:r w:rsidRPr="002A6BA8">
        <w:rPr>
          <w:vertAlign w:val="subscript"/>
          <w:lang w:eastAsia="en-GB"/>
        </w:rPr>
        <w:t>3</w:t>
      </w:r>
      <w:r w:rsidRPr="002A6BA8">
        <w:rPr>
          <w:lang w:eastAsia="en-GB"/>
        </w:rPr>
        <w:t>:C</w:t>
      </w:r>
      <w:r w:rsidRPr="002A6BA8">
        <w:rPr>
          <w:vertAlign w:val="subscript"/>
          <w:lang w:eastAsia="en-GB"/>
        </w:rPr>
        <w:t>70</w:t>
      </w:r>
      <w:r w:rsidRPr="002A6BA8">
        <w:rPr>
          <w:lang w:eastAsia="en-GB"/>
        </w:rPr>
        <w:t xml:space="preserve"> samples</w:t>
      </w:r>
      <w:r w:rsidR="00F438B4" w:rsidRPr="002A6BA8">
        <w:rPr>
          <w:lang w:eastAsia="en-GB"/>
        </w:rPr>
        <w:t xml:space="preserve"> upon excitation from the perovskite side, with the aim to interrogate the emissive properties of the perovskite bulk</w:t>
      </w:r>
      <w:r w:rsidRPr="002A6BA8">
        <w:rPr>
          <w:lang w:eastAsia="en-GB"/>
        </w:rPr>
        <w:t>. For the lat</w:t>
      </w:r>
      <w:r w:rsidR="00DA3EF3" w:rsidRPr="002A6BA8">
        <w:rPr>
          <w:lang w:eastAsia="en-GB"/>
        </w:rPr>
        <w:t>ter</w:t>
      </w:r>
      <w:r w:rsidRPr="002A6BA8">
        <w:rPr>
          <w:lang w:eastAsia="en-GB"/>
        </w:rPr>
        <w:t xml:space="preserve">, the PL signal </w:t>
      </w:r>
      <w:r w:rsidR="000273A2" w:rsidRPr="002A6BA8">
        <w:rPr>
          <w:lang w:eastAsia="en-GB"/>
        </w:rPr>
        <w:t xml:space="preserve">of the film </w:t>
      </w:r>
      <w:r w:rsidRPr="002A6BA8">
        <w:rPr>
          <w:lang w:eastAsia="en-GB"/>
        </w:rPr>
        <w:t xml:space="preserve">is quenched. </w:t>
      </w:r>
      <w:r w:rsidR="008D28E8" w:rsidRPr="002A6BA8">
        <w:rPr>
          <w:lang w:eastAsia="en-GB"/>
        </w:rPr>
        <w:t>While this measurement</w:t>
      </w:r>
      <w:r w:rsidR="00201036" w:rsidRPr="002A6BA8">
        <w:rPr>
          <w:lang w:eastAsia="en-GB"/>
        </w:rPr>
        <w:t xml:space="preserve"> is not quantitative and does not reflect the entire mechanisms behind device operation, it </w:t>
      </w:r>
      <w:r w:rsidR="00F438B4" w:rsidRPr="002A6BA8">
        <w:rPr>
          <w:lang w:eastAsia="en-GB"/>
        </w:rPr>
        <w:t>indicates that a quenching process happens in presence of C</w:t>
      </w:r>
      <w:r w:rsidR="00F438B4" w:rsidRPr="002A6BA8">
        <w:rPr>
          <w:vertAlign w:val="subscript"/>
          <w:lang w:eastAsia="en-GB"/>
        </w:rPr>
        <w:t>70</w:t>
      </w:r>
      <w:r w:rsidR="00F438B4" w:rsidRPr="002A6BA8">
        <w:rPr>
          <w:lang w:eastAsia="en-GB"/>
        </w:rPr>
        <w:t xml:space="preserve"> molecules</w:t>
      </w:r>
      <w:r w:rsidR="00201036" w:rsidRPr="002A6BA8">
        <w:rPr>
          <w:lang w:eastAsia="en-GB"/>
        </w:rPr>
        <w:t xml:space="preserve"> in the perovskite bulk</w:t>
      </w:r>
      <w:r w:rsidR="004E1BC9" w:rsidRPr="002A6BA8">
        <w:rPr>
          <w:lang w:eastAsia="en-GB"/>
        </w:rPr>
        <w:t xml:space="preserve">. </w:t>
      </w:r>
      <w:r w:rsidR="00F438B4" w:rsidRPr="002A6BA8">
        <w:rPr>
          <w:lang w:eastAsia="en-GB"/>
        </w:rPr>
        <w:t>With the idea to shed light on the C</w:t>
      </w:r>
      <w:r w:rsidR="00F438B4" w:rsidRPr="002A6BA8">
        <w:rPr>
          <w:vertAlign w:val="subscript"/>
          <w:lang w:eastAsia="en-GB"/>
        </w:rPr>
        <w:t>70</w:t>
      </w:r>
      <w:r w:rsidR="00201036" w:rsidRPr="002A6BA8">
        <w:rPr>
          <w:lang w:eastAsia="en-GB"/>
        </w:rPr>
        <w:t>/</w:t>
      </w:r>
      <w:r w:rsidR="00F438B4" w:rsidRPr="002A6BA8">
        <w:rPr>
          <w:lang w:eastAsia="en-GB"/>
        </w:rPr>
        <w:t xml:space="preserve">perovskite </w:t>
      </w:r>
      <w:r w:rsidR="00201036" w:rsidRPr="002A6BA8">
        <w:rPr>
          <w:lang w:eastAsia="en-GB"/>
        </w:rPr>
        <w:t>dispersion</w:t>
      </w:r>
      <w:r w:rsidR="00F438B4" w:rsidRPr="002A6BA8">
        <w:rPr>
          <w:lang w:eastAsia="en-GB"/>
        </w:rPr>
        <w:t>,</w:t>
      </w:r>
      <w:r w:rsidR="004E1BC9" w:rsidRPr="002A6BA8">
        <w:rPr>
          <w:lang w:eastAsia="en-GB"/>
        </w:rPr>
        <w:t xml:space="preserve"> </w:t>
      </w:r>
      <w:r w:rsidR="00F438B4" w:rsidRPr="002A6BA8">
        <w:rPr>
          <w:lang w:eastAsia="en-GB"/>
        </w:rPr>
        <w:t>we examined the TA dynamics of the system</w:t>
      </w:r>
      <w:r w:rsidR="00201036" w:rsidRPr="002A6BA8">
        <w:rPr>
          <w:lang w:eastAsia="en-GB"/>
        </w:rPr>
        <w:t>.</w:t>
      </w:r>
      <w:r w:rsidR="004E1BC9" w:rsidRPr="002A6BA8">
        <w:rPr>
          <w:lang w:eastAsia="en-GB"/>
        </w:rPr>
        <w:t xml:space="preserve"> </w:t>
      </w:r>
      <w:r w:rsidR="00F438B4" w:rsidRPr="002A6BA8">
        <w:rPr>
          <w:lang w:eastAsia="en-GB"/>
        </w:rPr>
        <w:t>Figure 1a shows</w:t>
      </w:r>
      <w:r w:rsidR="008D28E8" w:rsidRPr="002A6BA8">
        <w:rPr>
          <w:lang w:eastAsia="en-GB"/>
        </w:rPr>
        <w:t>,</w:t>
      </w:r>
      <w:r w:rsidR="00F438B4" w:rsidRPr="002A6BA8">
        <w:rPr>
          <w:lang w:eastAsia="en-GB"/>
        </w:rPr>
        <w:t xml:space="preserve"> on top of the PL spectra, the TA signal comparing MAPbI</w:t>
      </w:r>
      <w:r w:rsidR="00F438B4" w:rsidRPr="002A6BA8">
        <w:rPr>
          <w:vertAlign w:val="subscript"/>
          <w:lang w:eastAsia="en-GB"/>
        </w:rPr>
        <w:t>3</w:t>
      </w:r>
      <w:r w:rsidR="00F438B4" w:rsidRPr="002A6BA8">
        <w:rPr>
          <w:lang w:eastAsia="en-GB"/>
        </w:rPr>
        <w:t xml:space="preserve"> and MAPbI</w:t>
      </w:r>
      <w:r w:rsidR="00F438B4" w:rsidRPr="002A6BA8">
        <w:rPr>
          <w:vertAlign w:val="subscript"/>
          <w:lang w:eastAsia="en-GB"/>
        </w:rPr>
        <w:t>3</w:t>
      </w:r>
      <w:r w:rsidR="00F438B4" w:rsidRPr="002A6BA8">
        <w:rPr>
          <w:lang w:eastAsia="en-GB"/>
        </w:rPr>
        <w:t>:C</w:t>
      </w:r>
      <w:r w:rsidR="00F438B4" w:rsidRPr="002A6BA8">
        <w:rPr>
          <w:vertAlign w:val="subscript"/>
          <w:lang w:eastAsia="en-GB"/>
        </w:rPr>
        <w:t>70</w:t>
      </w:r>
      <w:r w:rsidR="00F438B4" w:rsidRPr="002A6BA8">
        <w:rPr>
          <w:lang w:eastAsia="en-GB"/>
        </w:rPr>
        <w:t xml:space="preserve"> integrated in the first 100 ns time frame</w:t>
      </w:r>
      <w:r w:rsidRPr="002A6BA8">
        <w:rPr>
          <w:lang w:eastAsia="en-GB"/>
        </w:rPr>
        <w:t xml:space="preserve"> </w:t>
      </w:r>
      <w:r w:rsidR="004E1BC9" w:rsidRPr="002A6BA8">
        <w:rPr>
          <w:lang w:eastAsia="en-GB"/>
        </w:rPr>
        <w:t xml:space="preserve">upon </w:t>
      </w:r>
      <w:r w:rsidR="00E44051" w:rsidRPr="002A6BA8">
        <w:rPr>
          <w:lang w:eastAsia="en-GB"/>
        </w:rPr>
        <w:t xml:space="preserve">exclusively </w:t>
      </w:r>
      <w:r w:rsidR="004E1BC9" w:rsidRPr="002A6BA8">
        <w:rPr>
          <w:lang w:eastAsia="en-GB"/>
        </w:rPr>
        <w:t xml:space="preserve">exciting </w:t>
      </w:r>
      <w:r w:rsidR="00E44051" w:rsidRPr="002A6BA8">
        <w:rPr>
          <w:lang w:eastAsia="en-GB"/>
        </w:rPr>
        <w:t>the MAPbI</w:t>
      </w:r>
      <w:r w:rsidR="00E44051" w:rsidRPr="002A6BA8">
        <w:rPr>
          <w:vertAlign w:val="subscript"/>
          <w:lang w:eastAsia="en-GB"/>
        </w:rPr>
        <w:t>3</w:t>
      </w:r>
      <w:r w:rsidR="00E44051" w:rsidRPr="002A6BA8">
        <w:rPr>
          <w:lang w:eastAsia="en-GB"/>
        </w:rPr>
        <w:t xml:space="preserve"> </w:t>
      </w:r>
      <w:r w:rsidR="004E1BC9" w:rsidRPr="002A6BA8">
        <w:rPr>
          <w:lang w:eastAsia="en-GB"/>
        </w:rPr>
        <w:t>at 650 nm</w:t>
      </w:r>
      <w:r w:rsidRPr="002A6BA8">
        <w:rPr>
          <w:lang w:eastAsia="en-GB"/>
        </w:rPr>
        <w:t xml:space="preserve">. </w:t>
      </w:r>
      <w:r w:rsidR="00E44051" w:rsidRPr="002A6BA8">
        <w:rPr>
          <w:lang w:eastAsia="en-GB"/>
        </w:rPr>
        <w:t>A</w:t>
      </w:r>
      <w:r w:rsidRPr="002A6BA8">
        <w:rPr>
          <w:lang w:eastAsia="en-GB"/>
        </w:rPr>
        <w:t xml:space="preserve"> broad positive </w:t>
      </w:r>
      <w:r w:rsidR="00BA7D67" w:rsidRPr="002A6BA8">
        <w:rPr>
          <w:lang w:eastAsia="en-GB"/>
        </w:rPr>
        <w:t>differential transmission (</w:t>
      </w:r>
      <w:r w:rsidR="00BA7D67" w:rsidRPr="002A6BA8">
        <w:rPr>
          <w:lang w:eastAsia="en-GB"/>
        </w:rPr>
        <w:sym w:font="Symbol" w:char="F044"/>
      </w:r>
      <w:r w:rsidR="00BA7D67" w:rsidRPr="002A6BA8">
        <w:rPr>
          <w:lang w:eastAsia="en-GB"/>
        </w:rPr>
        <w:t xml:space="preserve">T/T) </w:t>
      </w:r>
      <w:r w:rsidRPr="002A6BA8">
        <w:rPr>
          <w:lang w:eastAsia="en-GB"/>
        </w:rPr>
        <w:t xml:space="preserve">band peaking around 760 nm </w:t>
      </w:r>
      <w:r w:rsidR="00E44051" w:rsidRPr="002A6BA8">
        <w:rPr>
          <w:lang w:eastAsia="en-GB"/>
        </w:rPr>
        <w:t xml:space="preserve">is observed, </w:t>
      </w:r>
      <w:r w:rsidRPr="002A6BA8">
        <w:rPr>
          <w:lang w:eastAsia="en-GB"/>
        </w:rPr>
        <w:t>represent</w:t>
      </w:r>
      <w:r w:rsidR="00E44051" w:rsidRPr="002A6BA8">
        <w:rPr>
          <w:lang w:eastAsia="en-GB"/>
        </w:rPr>
        <w:t>ing</w:t>
      </w:r>
      <w:r w:rsidRPr="002A6BA8">
        <w:rPr>
          <w:lang w:eastAsia="en-GB"/>
        </w:rPr>
        <w:t xml:space="preserve"> the PB signal due to charge state filling at the </w:t>
      </w:r>
      <w:r w:rsidR="00E44051" w:rsidRPr="002A6BA8">
        <w:rPr>
          <w:lang w:eastAsia="en-GB"/>
        </w:rPr>
        <w:t xml:space="preserve">perovskite </w:t>
      </w:r>
      <w:r w:rsidRPr="002A6BA8">
        <w:rPr>
          <w:lang w:eastAsia="en-GB"/>
        </w:rPr>
        <w:t>band edges</w:t>
      </w:r>
      <w:r w:rsidR="008160F3" w:rsidRPr="002A6BA8">
        <w:rPr>
          <w:lang w:eastAsia="en-GB"/>
        </w:rPr>
        <w:t xml:space="preserve"> </w:t>
      </w:r>
      <w:r w:rsidR="008160F3" w:rsidRPr="002A6BA8">
        <w:rPr>
          <w:lang w:eastAsia="en-GB"/>
        </w:rPr>
        <w:fldChar w:fldCharType="begin"/>
      </w:r>
      <w:r w:rsidR="008160F3" w:rsidRPr="002A6BA8">
        <w:rPr>
          <w:lang w:eastAsia="en-GB"/>
        </w:rPr>
        <w:instrText xml:space="preserve"> ADDIN ZOTERO_ITEM CSL_CITATION {"citationID":"2005degri","properties":{"formattedCitation":"{\\rtf \\super [9,27,28]\\nosupersub{}}","plainCitation":"[9,27,28]"},"citationItems":[{"id":357,"uris":["http://zotero.org/users/local/6uiBC8Ma/items/WBCPJA4S"],"uri":["http://zotero.org/users/local/6uiBC8Ma/items/WBCPJA4S"],"itemData":{"id":357,"type":"article-journal","title":"Electron-hole diffusion lengths exceeding 1 micrometer in an organometal trihalide perovskite absorber","container-title":"Science","page":"341–344","volume":"342","issue":"6156","source":"Google Scholar","author":[{"family":"Stranks","given":"Samuel D."},{"family":"Eperon","given":"Giles E."},{"family":"Grancini","given":"Giulia"},{"family":"Menelaou","given":"Christopher"},{"family":"Alcocer","given":"Marcelo JP"},{"family":"Leijtens","given":"Tomas"},{"family":"Herz","given":"Laura M."},{"family":"Petrozza","given":"Annamaria"},{"family":"Snaith","given":"Henry J."}],"issued":{"date-parts":[["2013"]]}}},{"id":86,"uris":["http://zotero.org/users/local/6uiBC8Ma/items/JM3Z3F87"],"uri":["http://zotero.org/users/local/6uiBC8Ma/items/JM3Z3F87"],"itemData":{"id":86,"type":"article-journal","title":"Role of microstructure in the electron–hole interaction of hybrid lead halide perovskites","container-title":"Nature Photonics","page":"695-701","volume":"9","issue":"10","source":"www.nature.com","abstract":"Organic–inorganic metal halide perovskites have demonstrated high power conversion efficiencies in solar cells and promising performance in a wide range of optoelectronic devices. The existence and stability of bound electron–hole pairs in these materials and their role in the operation of devices with different architectures remains a controversial issue. Here we demonstrate, through a combination of optical spectroscopy and multiscale modelling as a function of the degree of polycrystallinity and temperature, that the electron–hole interaction is sensitive to the microstructure of the material. The long-range order is disrupted by polycrystalline disorder and the variations in electrostatic potential found for smaller crystals suppress exciton formation, while larger crystals of the same composition demonstrate an unambiguous excitonic state. We conclude that fabrication procedures and morphology strongly influence perovskite behaviour, with both free carrier and excitonic regimes possible, with strong implications for optoelectronic devices.\nView full text","DOI":"10.1038/nphoton.2015.151","ISSN":"1749-4885","journalAbbreviation":"Nat Photon","language":"en","author":[{"family":"Grancini","given":"Giulia"},{"family":"Srimath Kandada","given":"Ajay Ram"},{"family":"Frost","given":"Jarvist M."},{"family":"Barker","given":"Alex J."},{"family":"De Bastiani","given":"Michele"},{"family":"Gandini","given":"Marina"},{"family":"Marras","given":"Sergio"},{"family":"Lanzani","given":"Guglielmo"},{"family":"Walsh","given":"Aron"},{"family":"Petrozza","given":"Annamaria"}],"issued":{"date-parts":[["2015",10]]}}},{"id":700,"uris":["http://zotero.org/users/local/6uiBC8Ma/items/W2TD25GH"],"uri":["http://zotero.org/users/local/6uiBC8Ma/items/W2TD25GH"],"itemData":{"id":700,"type":"article-journal","title":"Femtosecond Charge-Injection Dynamics at Hybrid Perovskite Interfaces","container-title":"ChemPhysChem","page":"n/a-n/a","source":"Wiley Online Library","abstract":"With a power conversion efficiency (PCE) exceeding 22 %, perovskite solar cells (PSCs) have thrilled photovoltaic research. However, the interface behavior is still not understood and is a hot topic of research: different processes occur over a hierarchy of timescales, from femtoseconds to seconds, which makes perovskite interface physics intriguing. Herein, through femtosecond transient absorption spectroscopy with spectral coverage extending into the crucial IR region, the ultrafast interface-specific processes at standard and newly molecularly engineered perovskite interfaces in state-of-the-art PSCs are interrogated. Ultrafast interfacial charge injection occurs with a time constant of 100 fs, resulting in hot transfer from energetic charges and setting the timescale for the first step involved in the complex charge-transfer process. This is also true for 20 % efficient devices measured under real operation, for which the femtosecond injection is followed by a slower picosecond component. These findings provide compelling evidence for the femtosecond interfacial charge-injection step and demonstrate a robust method for the straightforward identification of interfacial non-equilibrium processes on the ultrafast timescale.","DOI":"10.1002/cphc.201700492","ISSN":"1439-7641","journalAbbreviation":"ChemPhysChem","language":"en","author":[{"family":"Grancini","given":"Giulia"},{"family":"Viola","given":"Daniele"},{"family":"Lee","given":"Yonghui"},{"family":"Saliba","given":"Michael"},{"family":"Paek","given":"Sanghyun"},{"family":"Cho","given":"Kyung Taek"},{"family":"Orlandi","given":"Simonetta"},{"family":"Cavazzini","given":"Marco"},{"family":"Fungo","given":"Fernando"},{"family":"Hossain","given":"Mohammad I."},{"family":"Belaidi","given":"Abdelhak"},{"family":"Tabet","given":"Nouar"},{"family":"Pozzi","given":"Gianluca"},{"family":"Cerullo","given":"Giulio"},{"family":"Nazeeruddin","given":"Mohammad Khaja"}]}}],"schema":"https://github.com/citation-style-language/schema/raw/master/csl-citation.json"} </w:instrText>
      </w:r>
      <w:r w:rsidR="008160F3" w:rsidRPr="002A6BA8">
        <w:rPr>
          <w:lang w:eastAsia="en-GB"/>
        </w:rPr>
        <w:fldChar w:fldCharType="separate"/>
      </w:r>
      <w:r w:rsidR="008160F3" w:rsidRPr="002A6BA8">
        <w:rPr>
          <w:vertAlign w:val="superscript"/>
        </w:rPr>
        <w:t>[9,27,28]</w:t>
      </w:r>
      <w:r w:rsidR="008160F3" w:rsidRPr="002A6BA8">
        <w:rPr>
          <w:lang w:eastAsia="en-GB"/>
        </w:rPr>
        <w:fldChar w:fldCharType="end"/>
      </w:r>
      <w:r w:rsidR="00746492" w:rsidRPr="002A6BA8">
        <w:rPr>
          <w:lang w:eastAsia="en-GB"/>
        </w:rPr>
        <w:t xml:space="preserve">. </w:t>
      </w:r>
      <w:r w:rsidR="00E8289F" w:rsidRPr="002A6BA8">
        <w:rPr>
          <w:lang w:eastAsia="en-GB"/>
        </w:rPr>
        <w:t>Since the PB monitors the evolution of the charge populations, being proportional to the density of electrons and holes, the observed quenching suggests that a charge transfer process takes place to the C</w:t>
      </w:r>
      <w:r w:rsidR="00E8289F" w:rsidRPr="002A6BA8">
        <w:rPr>
          <w:vertAlign w:val="subscript"/>
          <w:lang w:eastAsia="en-GB"/>
        </w:rPr>
        <w:t>70</w:t>
      </w:r>
      <w:r w:rsidR="00E8289F" w:rsidRPr="002A6BA8">
        <w:rPr>
          <w:lang w:eastAsia="en-GB"/>
        </w:rPr>
        <w:t xml:space="preserve"> molecules, which </w:t>
      </w:r>
      <w:r w:rsidR="004E1BC9" w:rsidRPr="002A6BA8">
        <w:rPr>
          <w:lang w:eastAsia="en-GB"/>
        </w:rPr>
        <w:t xml:space="preserve">can </w:t>
      </w:r>
      <w:r w:rsidR="00E8289F" w:rsidRPr="002A6BA8">
        <w:rPr>
          <w:lang w:eastAsia="en-GB"/>
        </w:rPr>
        <w:t xml:space="preserve">also account for the </w:t>
      </w:r>
      <w:r w:rsidR="004E1BC9" w:rsidRPr="002A6BA8">
        <w:rPr>
          <w:lang w:eastAsia="en-GB"/>
        </w:rPr>
        <w:t xml:space="preserve">observed </w:t>
      </w:r>
      <w:r w:rsidR="00E8289F" w:rsidRPr="002A6BA8">
        <w:rPr>
          <w:lang w:eastAsia="en-GB"/>
        </w:rPr>
        <w:t>PL reduction.</w:t>
      </w:r>
      <w:r w:rsidRPr="002A6BA8">
        <w:rPr>
          <w:lang w:eastAsia="en-GB"/>
        </w:rPr>
        <w:t xml:space="preserve"> </w:t>
      </w:r>
      <w:r w:rsidR="00E8289F" w:rsidRPr="002A6BA8">
        <w:rPr>
          <w:lang w:eastAsia="en-GB"/>
        </w:rPr>
        <w:t>It is n</w:t>
      </w:r>
      <w:r w:rsidRPr="002A6BA8">
        <w:rPr>
          <w:lang w:eastAsia="en-GB"/>
        </w:rPr>
        <w:t>ote</w:t>
      </w:r>
      <w:r w:rsidR="009209C8" w:rsidRPr="002A6BA8">
        <w:rPr>
          <w:lang w:eastAsia="en-GB"/>
        </w:rPr>
        <w:t>worthy</w:t>
      </w:r>
      <w:r w:rsidR="00E8289F" w:rsidRPr="002A6BA8">
        <w:rPr>
          <w:lang w:eastAsia="en-GB"/>
        </w:rPr>
        <w:t xml:space="preserve"> that</w:t>
      </w:r>
      <w:r w:rsidRPr="002A6BA8">
        <w:rPr>
          <w:lang w:eastAsia="en-GB"/>
        </w:rPr>
        <w:t xml:space="preserve"> we excite with 50</w:t>
      </w:r>
      <w:r w:rsidR="006C3B75" w:rsidRPr="002A6BA8">
        <w:rPr>
          <w:lang w:eastAsia="en-GB"/>
        </w:rPr>
        <w:t xml:space="preserve"> </w:t>
      </w:r>
      <w:r w:rsidRPr="002A6BA8">
        <w:rPr>
          <w:lang w:eastAsia="en-GB"/>
        </w:rPr>
        <w:t>nJ/cm</w:t>
      </w:r>
      <w:r w:rsidRPr="002A6BA8">
        <w:rPr>
          <w:vertAlign w:val="superscript"/>
          <w:lang w:eastAsia="en-GB"/>
        </w:rPr>
        <w:t>2</w:t>
      </w:r>
      <w:r w:rsidRPr="002A6BA8">
        <w:rPr>
          <w:lang w:eastAsia="en-GB"/>
        </w:rPr>
        <w:t xml:space="preserve"> </w:t>
      </w:r>
      <w:r w:rsidR="003B6C72" w:rsidRPr="002A6BA8">
        <w:rPr>
          <w:lang w:eastAsia="en-GB"/>
        </w:rPr>
        <w:t xml:space="preserve">fluence, </w:t>
      </w:r>
      <w:r w:rsidRPr="002A6BA8">
        <w:rPr>
          <w:lang w:eastAsia="en-GB"/>
        </w:rPr>
        <w:t xml:space="preserve">corresponding to a photocarrier density of </w:t>
      </w:r>
      <w:r w:rsidR="003B6C72" w:rsidRPr="002A6BA8">
        <w:rPr>
          <w:lang w:eastAsia="en-GB"/>
        </w:rPr>
        <w:sym w:font="Symbol" w:char="F0BB"/>
      </w:r>
      <w:r w:rsidR="007905F8" w:rsidRPr="002A6BA8">
        <w:rPr>
          <w:lang w:eastAsia="en-GB"/>
        </w:rPr>
        <w:t xml:space="preserve"> </w:t>
      </w:r>
      <w:r w:rsidRPr="002A6BA8">
        <w:rPr>
          <w:lang w:eastAsia="en-GB"/>
        </w:rPr>
        <w:t>10</w:t>
      </w:r>
      <w:r w:rsidRPr="002A6BA8">
        <w:rPr>
          <w:vertAlign w:val="superscript"/>
          <w:lang w:eastAsia="en-GB"/>
        </w:rPr>
        <w:t>16</w:t>
      </w:r>
      <w:r w:rsidR="00E8289F" w:rsidRPr="002A6BA8">
        <w:rPr>
          <w:lang w:eastAsia="en-GB"/>
        </w:rPr>
        <w:t xml:space="preserve"> cm</w:t>
      </w:r>
      <w:r w:rsidR="00E8289F" w:rsidRPr="002A6BA8">
        <w:rPr>
          <w:vertAlign w:val="superscript"/>
          <w:lang w:eastAsia="en-GB"/>
        </w:rPr>
        <w:t>-3</w:t>
      </w:r>
      <w:r w:rsidRPr="002A6BA8">
        <w:rPr>
          <w:lang w:eastAsia="en-GB"/>
        </w:rPr>
        <w:t>, a</w:t>
      </w:r>
      <w:r w:rsidR="009209C8" w:rsidRPr="002A6BA8">
        <w:rPr>
          <w:lang w:eastAsia="en-GB"/>
        </w:rPr>
        <w:t>n excitation</w:t>
      </w:r>
      <w:r w:rsidRPr="002A6BA8">
        <w:rPr>
          <w:lang w:eastAsia="en-GB"/>
        </w:rPr>
        <w:t xml:space="preserve"> regime </w:t>
      </w:r>
      <w:r w:rsidR="00E8289F" w:rsidRPr="002A6BA8">
        <w:rPr>
          <w:lang w:eastAsia="en-GB"/>
        </w:rPr>
        <w:t xml:space="preserve">in which </w:t>
      </w:r>
      <w:r w:rsidR="00EA5133" w:rsidRPr="002A6BA8">
        <w:rPr>
          <w:lang w:eastAsia="en-GB"/>
        </w:rPr>
        <w:t>traps</w:t>
      </w:r>
      <w:r w:rsidRPr="002A6BA8">
        <w:rPr>
          <w:lang w:eastAsia="en-GB"/>
        </w:rPr>
        <w:t xml:space="preserve"> are saturated and the intrinsic band-to-band electron-hole recombination dominates</w:t>
      </w:r>
      <w:r w:rsidR="008160F3" w:rsidRPr="002A6BA8">
        <w:rPr>
          <w:lang w:eastAsia="en-GB"/>
        </w:rPr>
        <w:t xml:space="preserve"> </w:t>
      </w:r>
      <w:r w:rsidR="008160F3" w:rsidRPr="002A6BA8">
        <w:rPr>
          <w:lang w:eastAsia="en-GB"/>
        </w:rPr>
        <w:fldChar w:fldCharType="begin"/>
      </w:r>
      <w:r w:rsidR="008160F3" w:rsidRPr="002A6BA8">
        <w:rPr>
          <w:lang w:eastAsia="en-GB"/>
        </w:rPr>
        <w:instrText xml:space="preserve"> ADDIN ZOTERO_ITEM CSL_CITATION {"citationID":"1c1ii50e0r","properties":{"formattedCitation":"{\\rtf \\super [29\\uc0\\u8211{}32]\\nosupersub{}}","plainCitation":"[29–32]"},"citationItems":[{"id":766,"uris":["http://zotero.org/users/local/6uiBC8Ma/items/NJZ7ZHME"],"uri":["http://zotero.org/users/local/6uiBC8Ma/items/NJZ7ZHME"],"itemData":{"id":766,"type":"article-journal","title":"Interfacial Charge-Carrier Trapping in CH3NH3PbI3-Based Heterolayered Structures Revealed by Time-Resolved Photoluminescence Spectroscopy","container-title":"The Journal of Physical Chemistry Letters","page":"1972-1977","volume":"7","issue":"11","source":"ACS Publications","abstract":"The fast-decaying component of photoluminescence (PL) under very weak pulse photoexcitation is dominated by the rapid relaxation of the photoexcited carriers into a small number of carrier-trapping defect states. Here, we report the subnanosecond decay of the PL under excitation weaker than 1 nJ/cm2 both in CH3NH3PbI3-based heterostructures and bare thin films. The trap-site density at the interface was evaluated on the basis of the fluence-dependent PL decay profiles. It was found that high-density defects determining the PL decay dynamics are formed near the interface between CH3NH3PbI3 and the hole-transporting Spiro-OMeTAD but not at the CH3NH3PbI3/TiO2 interface and the interior regions of CH3NH3PbI3 films. This finding can aid the fabrication of high-quality heterointerfaces, which are required improving the photoconversion efficiency of perovskite-based solar cells.","DOI":"10.1021/acs.jpclett.6b00653","ISSN":"1948-7185","journalAbbreviation":"J. Phys. Chem. Lett.","author":[{"family":"Yamada","given":"Yasuhiro"},{"family":"Yamada","given":"Takumi"},{"family":"Shimazaki","given":"Ai"},{"family":"Wakamiya","given":"Atsushi"},{"family":"Kanemitsu","given":"Yoshihiko"}],"issued":{"date-parts":[["2016",6,2]]}}},{"id":771,"uris":["http://zotero.org/users/local/6uiBC8Ma/items/JVEI8DEI"],"uri":["http://zotero.org/users/local/6uiBC8Ma/items/JVEI8DEI"],"itemData":{"id":771,"type":"article-journal","title":"Charge-carrier dynamics in vapour-deposited films of the organolead halide perovskite CH3NH3PbI3−xClx","container-title":"Energy &amp; Environmental Science","page":"2269-2275","volume":"7","issue":"7","source":"pubs.rsc.org","abstract":"We determine high charge-carrier mobilities ≥ 33 cm2 V−1 s−1 and bi-molecular recombination rates about five orders of magnitude below the prediction of Langevin's model for vapour-deposited CH3NH3PbI3−xClx using ultrafast THz spectroscopy. At charge-carrier densities below </w:instrText>
      </w:r>
      <w:r w:rsidR="008160F3" w:rsidRPr="002A6BA8">
        <w:rPr>
          <w:rFonts w:ascii="Cambria Math" w:hAnsi="Cambria Math" w:cs="Cambria Math"/>
          <w:lang w:eastAsia="en-GB"/>
        </w:rPr>
        <w:instrText>∼</w:instrText>
      </w:r>
      <w:r w:rsidR="008160F3" w:rsidRPr="002A6BA8">
        <w:rPr>
          <w:lang w:eastAsia="en-GB"/>
        </w:rPr>
        <w:instrText xml:space="preserve">1017 cm−3 intrinsic diffusion lengths are shown to approach 3 microns, limited by slow mono-molecular decay processes.","DOI":"10.1039/C4EE01358A","ISSN":"1754-5706","journalAbbreviation":"Energy Environ. Sci.","language":"en","author":[{"family":"Wehrenfennig","given":"Christian"},{"family":"Liu","given":"Mingzhen"},{"family":"Snaith","given":"Henry J."},{"family":"Johnston","given":"Michael B."},{"family":"Herz","given":"Laura M."}],"issued":{"date-parts":[["2014",6,19]]}}},{"id":774,"uris":["http://zotero.org/users/local/6uiBC8Ma/items/MFJUDI6T"],"uri":["http://zotero.org/users/local/6uiBC8Ma/items/MFJUDI6T"],"itemData":{"id":774,"type":"article-journal","title":"Photocarrier Recombination Dynamics in Perovskite CH3NH3PbI3 for Solar Cell Applications","container-title":"Journal of the American Chemical Society","page":"11610-11613","volume":"136","issue":"33","source":"ACS Publications","abstract":"Using time-resolved photoluminescence and transient absorption measurements at room temperature, we report excitation-intensity-dependent photocarrier recombination processes in thin films made from the organo-metal halide perovskite semiconductor CH3NH3PbI3 for solar-cell applications. The photocarrier dynamics are well described by a simple rate equation including single-carrier trapping and electron–hole radiative recombination. This result provides clear evidence that the free-carrier model is better than the exciton model for interpreting the optical properties of CH3NH3PbI3. The observed large two-carrier recombination rate suggests the promising potential of perovskite semiconductors for optoelectronic device applications. Our findings provide the information about the dynamical behaviors of photoexcited carriers that is needed for developing high-efficiency perovskite solar cells.","DOI":"10.1021/ja506624n","ISSN":"0002-7863","journalAbbreviation":"J. Am. Chem. Soc.","author":[{"family":"Yamada","given":"Yasuhiro"},{"family":"Nakamura","given":"Toru"},{"family":"Endo","given":"Masaru"},{"family":"Wakamiya","given":"Atsushi"},{"family":"Kanemitsu","given":"Yoshihiko"}],"issued":{"date-parts":[["2014",8,20]]}}},{"id":777,"uris":["http://zotero.org/users/local/6uiBC8Ma/items/MZ8JH53K"],"uri":["http://zotero.org/users/local/6uiBC8Ma/items/MZ8JH53K"],"itemData":{"id":777,"type":"article-journal","title":"Recombination Kinetics in Organic-Inorganic Perovskites: Excitons, Free Charge, and Subgap States","container-title":"Physical Review Applied","page":"034007","volume":"2","issue":"3","source":"APS","abstract":"Organic-inorganic perovskites are attracting increasing attention for their use in high-performance solar cells. Nevertheless, a detailed understanding of charge generation, interplay of excitons and free charge carriers, and recombination pathways, crucial for further device improvement, remains incomplete. Here, we present an analytical model describing both equilibrium properties of free charge carriers and excitons in the presence of electronic subgap trap states and their time evolution after photoexcitation in CH3NH3PbI3−xClx. At low fluences the charge-trapping pathways limit the photoluminescence quantum efficiency, whereas at high fluences the traps are predominantly filled and recombination of the photogenerated species is dominated by efficient radiative processes. We show experimentally that the photoluminescence quantum efficiency approaches 100% at low temperatures and at high fluences, as predicted by our model. Our approach provides a theoretical framework to understand the fundamental physics of perovskite semiconductors and to help in designing and enhancing the material for improved optoelectronic device operation.","DOI":"10.1103/PhysRevApplied.2.034007","shortTitle":"Recombination Kinetics in Organic-Inorganic Perovskites","journalAbbreviation":"Phys. Rev. Applied","author":[{"family":"Stranks","given":"Samuel D."},{"family":"Burlakov","given":"Victor M."},{"family":"Leijtens","given":"Tomas"},{"family":"Ball","given":"James M."},{"family":"Goriely","given":"Alain"},{"family":"Snaith","given":"Henry J."}],"issued":{"date-parts":[["2014",9,11]]}}}],"schema":"https://github.com/citation-style-language/schema/raw/master/csl-citation.json"} </w:instrText>
      </w:r>
      <w:r w:rsidR="008160F3" w:rsidRPr="002A6BA8">
        <w:rPr>
          <w:lang w:eastAsia="en-GB"/>
        </w:rPr>
        <w:fldChar w:fldCharType="separate"/>
      </w:r>
      <w:r w:rsidR="008160F3" w:rsidRPr="002A6BA8">
        <w:rPr>
          <w:vertAlign w:val="superscript"/>
        </w:rPr>
        <w:t>[29–32]</w:t>
      </w:r>
      <w:r w:rsidR="008160F3" w:rsidRPr="002A6BA8">
        <w:rPr>
          <w:lang w:eastAsia="en-GB"/>
        </w:rPr>
        <w:fldChar w:fldCharType="end"/>
      </w:r>
      <w:r w:rsidRPr="002A6BA8">
        <w:rPr>
          <w:lang w:eastAsia="en-GB"/>
        </w:rPr>
        <w:t xml:space="preserve">. </w:t>
      </w:r>
      <w:r w:rsidR="00C24D66" w:rsidRPr="002A6BA8">
        <w:rPr>
          <w:lang w:eastAsia="en-GB"/>
        </w:rPr>
        <w:t xml:space="preserve">Thus, while in general the TA signal contains information on the total carrier population and its evolution mirrors both the radiative and non-radiative processes, in this case, we are in a fluence regime where traps are filled and the TA </w:t>
      </w:r>
      <w:r w:rsidR="003E413E" w:rsidRPr="002A6BA8">
        <w:rPr>
          <w:lang w:eastAsia="en-GB"/>
        </w:rPr>
        <w:t>dynamics</w:t>
      </w:r>
      <w:r w:rsidR="00C24D66" w:rsidRPr="002A6BA8">
        <w:rPr>
          <w:lang w:eastAsia="en-GB"/>
        </w:rPr>
        <w:t xml:space="preserve"> is mainly </w:t>
      </w:r>
      <w:r w:rsidR="003E413E" w:rsidRPr="002A6BA8">
        <w:rPr>
          <w:lang w:eastAsia="en-GB"/>
        </w:rPr>
        <w:t>reflecting</w:t>
      </w:r>
      <w:r w:rsidR="00C24D66" w:rsidRPr="002A6BA8">
        <w:rPr>
          <w:lang w:eastAsia="en-GB"/>
        </w:rPr>
        <w:t xml:space="preserve"> the radiative </w:t>
      </w:r>
      <w:r w:rsidR="00C24D66" w:rsidRPr="002A6BA8">
        <w:rPr>
          <w:lang w:eastAsia="en-GB"/>
        </w:rPr>
        <w:lastRenderedPageBreak/>
        <w:t>processes</w:t>
      </w:r>
      <w:r w:rsidR="00F56844" w:rsidRPr="002A6BA8">
        <w:rPr>
          <w:lang w:eastAsia="en-GB"/>
        </w:rPr>
        <w:t xml:space="preserve">, </w:t>
      </w:r>
      <w:r w:rsidR="00F56844" w:rsidRPr="002A6BA8">
        <w:t>hence, the time resolved PL and TA are expected to show the same dynamics</w:t>
      </w:r>
      <w:r w:rsidR="002D6207">
        <w:t>,</w:t>
      </w:r>
      <w:r w:rsidR="00F56844" w:rsidRPr="002A6BA8">
        <w:t xml:space="preserve"> see </w:t>
      </w:r>
      <w:r w:rsidR="007727FA" w:rsidRPr="002A6BA8">
        <w:rPr>
          <w:lang w:eastAsia="en-GB"/>
        </w:rPr>
        <w:t>Ref. 9</w:t>
      </w:r>
      <w:r w:rsidR="00C24D66" w:rsidRPr="002A6BA8">
        <w:rPr>
          <w:lang w:eastAsia="en-GB"/>
        </w:rPr>
        <w:t xml:space="preserve">. </w:t>
      </w:r>
      <w:r w:rsidR="00F438B4" w:rsidRPr="002A6BA8">
        <w:rPr>
          <w:lang w:eastAsia="en-GB"/>
        </w:rPr>
        <w:t>This allows for a fair comparison between</w:t>
      </w:r>
      <w:r w:rsidR="00C24D66" w:rsidRPr="002A6BA8">
        <w:rPr>
          <w:lang w:eastAsia="en-GB"/>
        </w:rPr>
        <w:t xml:space="preserve"> </w:t>
      </w:r>
      <w:r w:rsidR="003E413E" w:rsidRPr="002A6BA8">
        <w:rPr>
          <w:lang w:eastAsia="en-GB"/>
        </w:rPr>
        <w:t>PL</w:t>
      </w:r>
      <w:r w:rsidR="00C24D66" w:rsidRPr="002A6BA8">
        <w:rPr>
          <w:lang w:eastAsia="en-GB"/>
        </w:rPr>
        <w:t xml:space="preserve"> and TA dynamics, as shown in </w:t>
      </w:r>
      <w:r w:rsidR="00B45E98" w:rsidRPr="002A6BA8">
        <w:rPr>
          <w:lang w:eastAsia="en-GB"/>
        </w:rPr>
        <w:t>Figure 1g</w:t>
      </w:r>
      <w:r w:rsidRPr="002A6BA8">
        <w:rPr>
          <w:lang w:eastAsia="en-GB"/>
        </w:rPr>
        <w:t>.</w:t>
      </w:r>
      <w:r w:rsidR="002D6207">
        <w:rPr>
          <w:lang w:eastAsia="en-GB"/>
        </w:rPr>
        <w:t xml:space="preserve"> </w:t>
      </w:r>
      <w:r w:rsidR="002D6207" w:rsidRPr="002D6207">
        <w:rPr>
          <w:color w:val="FF0000"/>
          <w:lang w:eastAsia="en-GB"/>
        </w:rPr>
        <w:t xml:space="preserve">This does not </w:t>
      </w:r>
      <w:r w:rsidR="003C04E5">
        <w:rPr>
          <w:color w:val="FF0000"/>
          <w:lang w:eastAsia="en-GB"/>
        </w:rPr>
        <w:t xml:space="preserve">implicate that, under device operation, the nonradiative channels are off, rather they are still a source of losses, as evident by the device Voc, limited to less than 1.1eV. </w:t>
      </w:r>
      <w:r w:rsidRPr="002A6BA8">
        <w:rPr>
          <w:lang w:eastAsia="en-GB"/>
        </w:rPr>
        <w:t>For MAPbI</w:t>
      </w:r>
      <w:r w:rsidRPr="002A6BA8">
        <w:rPr>
          <w:vertAlign w:val="subscript"/>
          <w:lang w:eastAsia="en-GB"/>
        </w:rPr>
        <w:t>3</w:t>
      </w:r>
      <w:r w:rsidRPr="002A6BA8">
        <w:rPr>
          <w:lang w:eastAsia="en-GB"/>
        </w:rPr>
        <w:t>, the PL and the PB behavior</w:t>
      </w:r>
      <w:r w:rsidR="003E413E" w:rsidRPr="002A6BA8">
        <w:rPr>
          <w:lang w:eastAsia="en-GB"/>
        </w:rPr>
        <w:t>s</w:t>
      </w:r>
      <w:r w:rsidRPr="002A6BA8">
        <w:rPr>
          <w:lang w:eastAsia="en-GB"/>
        </w:rPr>
        <w:t xml:space="preserve"> overlap with a mono-exponential decay fitted with a time constant of </w:t>
      </w:r>
      <w:r w:rsidRPr="002A6BA8">
        <w:rPr>
          <w:rFonts w:ascii="Symbol" w:hAnsi="Symbol"/>
          <w:lang w:eastAsia="en-GB"/>
        </w:rPr>
        <w:t></w:t>
      </w:r>
      <w:r w:rsidRPr="002A6BA8">
        <w:rPr>
          <w:vertAlign w:val="subscript"/>
          <w:lang w:eastAsia="en-GB"/>
        </w:rPr>
        <w:t>1</w:t>
      </w:r>
      <w:r w:rsidRPr="002A6BA8">
        <w:rPr>
          <w:lang w:eastAsia="en-GB"/>
        </w:rPr>
        <w:t>=110 ns</w:t>
      </w:r>
      <w:r w:rsidR="008B2043" w:rsidRPr="002A6BA8">
        <w:rPr>
          <w:lang w:eastAsia="en-GB"/>
        </w:rPr>
        <w:t>,</w:t>
      </w:r>
      <w:r w:rsidRPr="002A6BA8">
        <w:rPr>
          <w:lang w:eastAsia="en-GB"/>
        </w:rPr>
        <w:t xml:space="preserve"> followed by a long living tail extending in the microsecond times (see Figure 1h). In agreement with the well-established rate equation model</w:t>
      </w:r>
      <w:r w:rsidR="008B2043" w:rsidRPr="002A6BA8">
        <w:rPr>
          <w:lang w:eastAsia="en-GB"/>
        </w:rPr>
        <w:t>,</w:t>
      </w:r>
      <w:r w:rsidRPr="002A6BA8">
        <w:rPr>
          <w:lang w:eastAsia="en-GB"/>
        </w:rPr>
        <w:t xml:space="preserve"> assuming only single carrier trapping and band to band transition</w:t>
      </w:r>
      <w:r w:rsidR="00BA7D67" w:rsidRPr="002A6BA8">
        <w:rPr>
          <w:lang w:eastAsia="en-GB"/>
        </w:rPr>
        <w:t>s</w:t>
      </w:r>
      <w:r w:rsidRPr="002A6BA8">
        <w:rPr>
          <w:lang w:eastAsia="en-GB"/>
        </w:rPr>
        <w:t xml:space="preserve"> to </w:t>
      </w:r>
      <w:r w:rsidR="00BA7D67" w:rsidRPr="002A6BA8">
        <w:rPr>
          <w:lang w:eastAsia="en-GB"/>
        </w:rPr>
        <w:t xml:space="preserve">describe </w:t>
      </w:r>
      <w:r w:rsidRPr="002A6BA8">
        <w:rPr>
          <w:lang w:eastAsia="en-GB"/>
        </w:rPr>
        <w:t>the PL decay</w:t>
      </w:r>
      <w:r w:rsidR="008160F3" w:rsidRPr="002A6BA8">
        <w:rPr>
          <w:lang w:eastAsia="en-GB"/>
        </w:rPr>
        <w:t xml:space="preserve"> </w:t>
      </w:r>
      <w:r w:rsidR="008160F3" w:rsidRPr="002A6BA8">
        <w:rPr>
          <w:lang w:eastAsia="en-GB"/>
        </w:rPr>
        <w:fldChar w:fldCharType="begin"/>
      </w:r>
      <w:r w:rsidR="008160F3" w:rsidRPr="002A6BA8">
        <w:rPr>
          <w:lang w:eastAsia="en-GB"/>
        </w:rPr>
        <w:instrText xml:space="preserve"> ADDIN ZOTERO_ITEM CSL_CITATION {"citationID":"1k56t8qn9j","properties":{"formattedCitation":"{\\rtf \\super [32]\\nosupersub{}}","plainCitation":"[32]"},"citationItems":[{"id":777,"uris":["http://zotero.org/users/local/6uiBC8Ma/items/MZ8JH53K"],"uri":["http://zotero.org/users/local/6uiBC8Ma/items/MZ8JH53K"],"itemData":{"id":777,"type":"article-journal","title":"Recombination Kinetics in Organic-Inorganic Perovskites: Excitons, Free Charge, and Subgap States","container-title":"Physical Review Applied","page":"034007","volume":"2","issue":"3","source":"APS","abstract":"Organic-inorganic perovskites are attracting increasing attention for their use in high-performance solar cells. Nevertheless, a detailed understanding of charge generation, interplay of excitons and free charge carriers, and recombination pathways, crucial for further device improvement, remains incomplete. Here, we present an analytical model describing both equilibrium properties of free charge carriers and excitons in the presence of electronic subgap trap states and their time evolution after photoexcitation in CH3NH3PbI3−xClx. At low fluences the charge-trapping pathways limit the photoluminescence quantum efficiency, whereas at high fluences the traps are predominantly filled and recombination of the photogenerated species is dominated by efficient radiative processes. We show experimentally that the photoluminescence quantum efficiency approaches 100% at low temperatures and at high fluences, as predicted by our model. Our approach provides a theoretical framework to understand the fundamental physics of perovskite semiconductors and to help in designing and enhancing the material for improved optoelectronic device operation.","DOI":"10.1103/PhysRevApplied.2.034007","shortTitle":"Recombination Kinetics in Organic-Inorganic Perovskites","journalAbbreviation":"Phys. Rev. Applied","author":[{"family":"Stranks","given":"Samuel D."},{"family":"Burlakov","given":"Victor M."},{"family":"Leijtens","given":"Tomas"},{"family":"Ball","given":"James M."},{"family":"Goriely","given":"Alain"},{"family":"Snaith","given":"Henry J."}],"issued":{"date-parts":[["2014",9,11]]}}}],"schema":"https://github.com/citation-style-language/schema/raw/master/csl-citation.json"} </w:instrText>
      </w:r>
      <w:r w:rsidR="008160F3" w:rsidRPr="002A6BA8">
        <w:rPr>
          <w:lang w:eastAsia="en-GB"/>
        </w:rPr>
        <w:fldChar w:fldCharType="separate"/>
      </w:r>
      <w:r w:rsidR="008160F3" w:rsidRPr="002A6BA8">
        <w:rPr>
          <w:vertAlign w:val="superscript"/>
        </w:rPr>
        <w:t>[32]</w:t>
      </w:r>
      <w:r w:rsidR="008160F3" w:rsidRPr="002A6BA8">
        <w:rPr>
          <w:lang w:eastAsia="en-GB"/>
        </w:rPr>
        <w:fldChar w:fldCharType="end"/>
      </w:r>
      <w:r w:rsidRPr="002A6BA8">
        <w:rPr>
          <w:lang w:eastAsia="en-GB"/>
        </w:rPr>
        <w:t xml:space="preserve">, the </w:t>
      </w:r>
      <w:r w:rsidR="00BA7D67" w:rsidRPr="002A6BA8">
        <w:rPr>
          <w:lang w:eastAsia="en-GB"/>
        </w:rPr>
        <w:t xml:space="preserve">faster </w:t>
      </w:r>
      <w:r w:rsidRPr="002A6BA8">
        <w:rPr>
          <w:lang w:eastAsia="en-GB"/>
        </w:rPr>
        <w:t>decay reflects the band</w:t>
      </w:r>
      <w:r w:rsidR="00C24D66" w:rsidRPr="002A6BA8">
        <w:rPr>
          <w:lang w:eastAsia="en-GB"/>
        </w:rPr>
        <w:t xml:space="preserve"> </w:t>
      </w:r>
      <w:r w:rsidRPr="002A6BA8">
        <w:rPr>
          <w:lang w:eastAsia="en-GB"/>
        </w:rPr>
        <w:t>to band radiative transition, while the long living tail can be due to long-living trapped charges. Indeed, on longer timescale the PL</w:t>
      </w:r>
      <w:r w:rsidR="007727FA" w:rsidRPr="002A6BA8">
        <w:rPr>
          <w:lang w:eastAsia="en-GB"/>
        </w:rPr>
        <w:t xml:space="preserve"> decay slightly deviates from the ns TA and its</w:t>
      </w:r>
      <w:r w:rsidRPr="002A6BA8">
        <w:rPr>
          <w:lang w:eastAsia="en-GB"/>
        </w:rPr>
        <w:t xml:space="preserve"> lifetime </w:t>
      </w:r>
      <w:r w:rsidR="008D28E8" w:rsidRPr="002A6BA8">
        <w:rPr>
          <w:lang w:eastAsia="en-GB"/>
        </w:rPr>
        <w:t>increases</w:t>
      </w:r>
      <w:r w:rsidRPr="002A6BA8">
        <w:rPr>
          <w:lang w:eastAsia="en-GB"/>
        </w:rPr>
        <w:t xml:space="preserve"> (up to </w:t>
      </w:r>
      <w:r w:rsidRPr="002A6BA8">
        <w:rPr>
          <w:rFonts w:ascii="Symbol" w:hAnsi="Symbol"/>
          <w:lang w:eastAsia="en-GB"/>
        </w:rPr>
        <w:t></w:t>
      </w:r>
      <w:r w:rsidRPr="002A6BA8">
        <w:rPr>
          <w:vertAlign w:val="subscript"/>
          <w:lang w:eastAsia="en-GB"/>
        </w:rPr>
        <w:t>2</w:t>
      </w:r>
      <w:r w:rsidRPr="002A6BA8">
        <w:rPr>
          <w:lang w:eastAsia="en-GB"/>
        </w:rPr>
        <w:t>=600</w:t>
      </w:r>
      <w:r w:rsidR="002814D3" w:rsidRPr="002A6BA8">
        <w:rPr>
          <w:lang w:eastAsia="en-GB"/>
        </w:rPr>
        <w:t xml:space="preserve"> </w:t>
      </w:r>
      <w:r w:rsidRPr="002A6BA8">
        <w:rPr>
          <w:lang w:eastAsia="en-GB"/>
        </w:rPr>
        <w:t>ns) under weaker excitation of 4x10</w:t>
      </w:r>
      <w:r w:rsidRPr="002A6BA8">
        <w:rPr>
          <w:vertAlign w:val="superscript"/>
          <w:lang w:eastAsia="en-GB"/>
        </w:rPr>
        <w:t>14</w:t>
      </w:r>
      <w:r w:rsidRPr="002A6BA8">
        <w:rPr>
          <w:lang w:eastAsia="en-GB"/>
        </w:rPr>
        <w:t xml:space="preserve"> (see Figure 1h)</w:t>
      </w:r>
      <w:r w:rsidR="00BE5745" w:rsidRPr="002A6BA8">
        <w:rPr>
          <w:lang w:eastAsia="en-GB"/>
        </w:rPr>
        <w:t xml:space="preserve">, for </w:t>
      </w:r>
      <w:r w:rsidRPr="002A6BA8">
        <w:rPr>
          <w:lang w:eastAsia="en-GB"/>
        </w:rPr>
        <w:t>wh</w:t>
      </w:r>
      <w:r w:rsidR="00BE5745" w:rsidRPr="002A6BA8">
        <w:rPr>
          <w:lang w:eastAsia="en-GB"/>
        </w:rPr>
        <w:t>ic</w:t>
      </w:r>
      <w:r w:rsidR="00146F7F" w:rsidRPr="002A6BA8">
        <w:rPr>
          <w:lang w:eastAsia="en-GB"/>
        </w:rPr>
        <w:t>h</w:t>
      </w:r>
      <w:r w:rsidRPr="002A6BA8">
        <w:rPr>
          <w:lang w:eastAsia="en-GB"/>
        </w:rPr>
        <w:t xml:space="preserve"> the trapping </w:t>
      </w:r>
      <w:r w:rsidR="00146F7F" w:rsidRPr="002A6BA8">
        <w:rPr>
          <w:lang w:eastAsia="en-GB"/>
        </w:rPr>
        <w:t xml:space="preserve">process </w:t>
      </w:r>
      <w:r w:rsidRPr="002A6BA8">
        <w:rPr>
          <w:lang w:eastAsia="en-GB"/>
        </w:rPr>
        <w:t>dominates.</w:t>
      </w:r>
      <w:r w:rsidR="00EA5133" w:rsidRPr="002A6BA8">
        <w:rPr>
          <w:lang w:eastAsia="en-GB"/>
        </w:rPr>
        <w:t xml:space="preserve"> </w:t>
      </w:r>
      <w:r w:rsidR="00E44051" w:rsidRPr="002A6BA8">
        <w:rPr>
          <w:lang w:eastAsia="en-GB"/>
        </w:rPr>
        <w:t>The films doped with C</w:t>
      </w:r>
      <w:r w:rsidR="00E44051" w:rsidRPr="002A6BA8">
        <w:rPr>
          <w:vertAlign w:val="subscript"/>
          <w:lang w:eastAsia="en-GB"/>
        </w:rPr>
        <w:t>70</w:t>
      </w:r>
      <w:r w:rsidR="00E44051" w:rsidRPr="002A6BA8">
        <w:rPr>
          <w:lang w:eastAsia="en-GB"/>
        </w:rPr>
        <w:t>, on the other hand, show a markedly different behavior. T</w:t>
      </w:r>
      <w:r w:rsidRPr="002A6BA8">
        <w:rPr>
          <w:lang w:eastAsia="en-GB"/>
        </w:rPr>
        <w:t>he PB signal</w:t>
      </w:r>
      <w:r w:rsidR="00BE5745" w:rsidRPr="002A6BA8">
        <w:rPr>
          <w:lang w:eastAsia="en-GB"/>
        </w:rPr>
        <w:t xml:space="preserve"> decay</w:t>
      </w:r>
      <w:r w:rsidR="00E44051" w:rsidRPr="002A6BA8">
        <w:rPr>
          <w:lang w:eastAsia="en-GB"/>
        </w:rPr>
        <w:t>s</w:t>
      </w:r>
      <w:r w:rsidRPr="002A6BA8">
        <w:rPr>
          <w:lang w:eastAsia="en-GB"/>
        </w:rPr>
        <w:t xml:space="preserve"> with </w:t>
      </w:r>
      <w:r w:rsidR="00D26C4A" w:rsidRPr="002A6BA8">
        <w:rPr>
          <w:lang w:eastAsia="en-GB"/>
        </w:rPr>
        <w:t xml:space="preserve">two </w:t>
      </w:r>
      <w:r w:rsidRPr="002A6BA8">
        <w:rPr>
          <w:lang w:eastAsia="en-GB"/>
        </w:rPr>
        <w:t>time constant</w:t>
      </w:r>
      <w:r w:rsidR="00D26C4A" w:rsidRPr="002A6BA8">
        <w:rPr>
          <w:lang w:eastAsia="en-GB"/>
        </w:rPr>
        <w:t>s</w:t>
      </w:r>
      <w:r w:rsidRPr="002A6BA8">
        <w:rPr>
          <w:lang w:eastAsia="en-GB"/>
        </w:rPr>
        <w:t xml:space="preserve"> of </w:t>
      </w:r>
      <w:r w:rsidRPr="002A6BA8">
        <w:rPr>
          <w:rFonts w:ascii="Symbol" w:hAnsi="Symbol"/>
          <w:lang w:eastAsia="en-GB"/>
        </w:rPr>
        <w:t></w:t>
      </w:r>
      <w:r w:rsidRPr="002A6BA8">
        <w:rPr>
          <w:vertAlign w:val="subscript"/>
          <w:lang w:eastAsia="en-GB"/>
        </w:rPr>
        <w:t>1</w:t>
      </w:r>
      <w:r w:rsidRPr="002A6BA8">
        <w:rPr>
          <w:lang w:eastAsia="en-GB"/>
        </w:rPr>
        <w:t>=10</w:t>
      </w:r>
      <w:r w:rsidR="00DC494B" w:rsidRPr="002A6BA8">
        <w:rPr>
          <w:lang w:eastAsia="en-GB"/>
        </w:rPr>
        <w:t xml:space="preserve"> </w:t>
      </w:r>
      <w:r w:rsidRPr="002A6BA8">
        <w:rPr>
          <w:lang w:eastAsia="en-GB"/>
        </w:rPr>
        <w:t>ns (close to the resolution limit of 8</w:t>
      </w:r>
      <w:r w:rsidR="00772D5A" w:rsidRPr="002A6BA8">
        <w:rPr>
          <w:lang w:eastAsia="en-GB"/>
        </w:rPr>
        <w:t xml:space="preserve"> </w:t>
      </w:r>
      <w:r w:rsidRPr="002A6BA8">
        <w:rPr>
          <w:lang w:eastAsia="en-GB"/>
        </w:rPr>
        <w:t xml:space="preserve">ns), while reducing the amplitude of the long living </w:t>
      </w:r>
      <w:r w:rsidR="00E44051" w:rsidRPr="002A6BA8">
        <w:rPr>
          <w:lang w:eastAsia="en-GB"/>
        </w:rPr>
        <w:t xml:space="preserve">tail </w:t>
      </w:r>
      <w:r w:rsidRPr="002A6BA8">
        <w:rPr>
          <w:lang w:eastAsia="en-GB"/>
        </w:rPr>
        <w:t>(Figure 1 g)</w:t>
      </w:r>
      <w:r w:rsidR="00D26C4A" w:rsidRPr="002A6BA8">
        <w:rPr>
          <w:lang w:eastAsia="en-GB"/>
        </w:rPr>
        <w:t xml:space="preserve"> which decays with a time constant of 160 ns</w:t>
      </w:r>
      <w:r w:rsidRPr="002A6BA8">
        <w:rPr>
          <w:lang w:eastAsia="en-GB"/>
        </w:rPr>
        <w:t xml:space="preserve">. </w:t>
      </w:r>
      <w:r w:rsidR="00D26C4A" w:rsidRPr="002A6BA8">
        <w:rPr>
          <w:lang w:eastAsia="en-GB"/>
        </w:rPr>
        <w:t xml:space="preserve">Again, since we are at an excitation density were most of traps can be considered filled, </w:t>
      </w:r>
      <w:r w:rsidR="00D26C4A" w:rsidRPr="002A6BA8">
        <w:rPr>
          <w:vertAlign w:val="superscript"/>
          <w:lang w:eastAsia="en-GB"/>
        </w:rPr>
        <w:t>[29-32]</w:t>
      </w:r>
      <w:r w:rsidR="00D26C4A" w:rsidRPr="002A6BA8">
        <w:rPr>
          <w:lang w:eastAsia="en-GB"/>
        </w:rPr>
        <w:t xml:space="preserve"> the second time constant can reflect the electron – hole recombination. It is worth noticing that this second time constant is slower in the blend with respect to the pure MAPbI</w:t>
      </w:r>
      <w:r w:rsidR="00D26C4A" w:rsidRPr="002A6BA8">
        <w:rPr>
          <w:vertAlign w:val="subscript"/>
          <w:lang w:eastAsia="en-GB"/>
        </w:rPr>
        <w:t>3</w:t>
      </w:r>
      <w:r w:rsidR="00D26C4A" w:rsidRPr="002A6BA8">
        <w:rPr>
          <w:lang w:eastAsia="en-GB"/>
        </w:rPr>
        <w:t xml:space="preserve"> (i.e. 110</w:t>
      </w:r>
      <w:r w:rsidR="00772D5A" w:rsidRPr="002A6BA8">
        <w:rPr>
          <w:lang w:eastAsia="en-GB"/>
        </w:rPr>
        <w:t xml:space="preserve"> </w:t>
      </w:r>
      <w:r w:rsidR="00D26C4A" w:rsidRPr="002A6BA8">
        <w:rPr>
          <w:lang w:eastAsia="en-GB"/>
        </w:rPr>
        <w:t>ns), which might reflect, among other processes, that electron-hole recombination is slowed down in the blend upon electrons are bounced from the C</w:t>
      </w:r>
      <w:r w:rsidR="00D26C4A" w:rsidRPr="002A6BA8">
        <w:rPr>
          <w:vertAlign w:val="subscript"/>
          <w:lang w:eastAsia="en-GB"/>
        </w:rPr>
        <w:t>70</w:t>
      </w:r>
      <w:r w:rsidR="00D26C4A" w:rsidRPr="002A6BA8">
        <w:rPr>
          <w:lang w:eastAsia="en-GB"/>
        </w:rPr>
        <w:t xml:space="preserve"> molecules back to the perovskites. </w:t>
      </w:r>
      <w:r w:rsidRPr="002A6BA8">
        <w:rPr>
          <w:lang w:eastAsia="en-GB"/>
        </w:rPr>
        <w:t>The PL follows the same behavior</w:t>
      </w:r>
      <w:r w:rsidR="00D26C4A" w:rsidRPr="002A6BA8">
        <w:rPr>
          <w:lang w:eastAsia="en-GB"/>
        </w:rPr>
        <w:t xml:space="preserve"> in the faster time window</w:t>
      </w:r>
      <w:r w:rsidRPr="002A6BA8">
        <w:rPr>
          <w:lang w:eastAsia="en-GB"/>
        </w:rPr>
        <w:t>, indicating the opening of a new path for the escape of free charges. On longer time scale</w:t>
      </w:r>
      <w:r w:rsidR="008B2043" w:rsidRPr="002A6BA8">
        <w:rPr>
          <w:lang w:eastAsia="en-GB"/>
        </w:rPr>
        <w:t>,</w:t>
      </w:r>
      <w:r w:rsidRPr="002A6BA8">
        <w:rPr>
          <w:lang w:eastAsia="en-GB"/>
        </w:rPr>
        <w:t xml:space="preserve"> a long-living signal possibly associated to </w:t>
      </w:r>
      <w:r w:rsidR="008160F3" w:rsidRPr="002A6BA8">
        <w:rPr>
          <w:lang w:eastAsia="en-GB"/>
        </w:rPr>
        <w:t>shallow traps</w:t>
      </w:r>
      <w:r w:rsidRPr="002A6BA8">
        <w:rPr>
          <w:lang w:eastAsia="en-GB"/>
        </w:rPr>
        <w:t xml:space="preserve"> is visible, with an associated lifetime of </w:t>
      </w:r>
      <w:r w:rsidRPr="002A6BA8">
        <w:rPr>
          <w:rFonts w:ascii="Symbol" w:hAnsi="Symbol"/>
          <w:lang w:eastAsia="en-GB"/>
        </w:rPr>
        <w:t></w:t>
      </w:r>
      <w:r w:rsidRPr="002A6BA8">
        <w:rPr>
          <w:vertAlign w:val="subscript"/>
          <w:lang w:eastAsia="en-GB"/>
        </w:rPr>
        <w:t>2</w:t>
      </w:r>
      <w:r w:rsidRPr="002A6BA8">
        <w:rPr>
          <w:lang w:eastAsia="en-GB"/>
        </w:rPr>
        <w:t>=700</w:t>
      </w:r>
      <w:r w:rsidR="002814D3" w:rsidRPr="002A6BA8">
        <w:rPr>
          <w:lang w:eastAsia="en-GB"/>
        </w:rPr>
        <w:t xml:space="preserve"> </w:t>
      </w:r>
      <w:r w:rsidRPr="002A6BA8">
        <w:rPr>
          <w:lang w:eastAsia="en-GB"/>
        </w:rPr>
        <w:t>ns. Th</w:t>
      </w:r>
      <w:r w:rsidR="001360CD" w:rsidRPr="002A6BA8">
        <w:rPr>
          <w:lang w:eastAsia="en-GB"/>
        </w:rPr>
        <w:t>is</w:t>
      </w:r>
      <w:r w:rsidRPr="002A6BA8">
        <w:rPr>
          <w:lang w:eastAsia="en-GB"/>
        </w:rPr>
        <w:t xml:space="preserve"> quenching </w:t>
      </w:r>
      <w:r w:rsidR="009D1CC8" w:rsidRPr="002A6BA8">
        <w:rPr>
          <w:lang w:eastAsia="en-GB"/>
        </w:rPr>
        <w:t xml:space="preserve">effect </w:t>
      </w:r>
      <w:r w:rsidRPr="002A6BA8">
        <w:rPr>
          <w:lang w:eastAsia="en-GB"/>
        </w:rPr>
        <w:t>can be associated to electron transfer to the C</w:t>
      </w:r>
      <w:r w:rsidRPr="002A6BA8">
        <w:rPr>
          <w:vertAlign w:val="subscript"/>
          <w:lang w:eastAsia="en-GB"/>
        </w:rPr>
        <w:t>70</w:t>
      </w:r>
      <w:r w:rsidRPr="002A6BA8">
        <w:rPr>
          <w:lang w:eastAsia="en-GB"/>
        </w:rPr>
        <w:t xml:space="preserve"> molecules.</w:t>
      </w:r>
      <w:r w:rsidR="00B13699" w:rsidRPr="002A6BA8">
        <w:rPr>
          <w:lang w:eastAsia="en-GB"/>
        </w:rPr>
        <w:t xml:space="preserve"> T</w:t>
      </w:r>
      <w:r w:rsidRPr="002A6BA8">
        <w:rPr>
          <w:lang w:eastAsia="en-GB"/>
        </w:rPr>
        <w:t xml:space="preserve">he </w:t>
      </w:r>
      <w:r w:rsidR="00B13699" w:rsidRPr="002A6BA8">
        <w:rPr>
          <w:lang w:eastAsia="en-GB"/>
        </w:rPr>
        <w:t xml:space="preserve">decay at </w:t>
      </w:r>
      <w:r w:rsidRPr="002A6BA8">
        <w:rPr>
          <w:lang w:eastAsia="en-GB"/>
        </w:rPr>
        <w:t>longer timescale</w:t>
      </w:r>
      <w:r w:rsidR="00B13699" w:rsidRPr="002A6BA8">
        <w:rPr>
          <w:lang w:eastAsia="en-GB"/>
        </w:rPr>
        <w:t xml:space="preserve"> </w:t>
      </w:r>
      <w:r w:rsidRPr="002A6BA8">
        <w:rPr>
          <w:lang w:eastAsia="en-GB"/>
        </w:rPr>
        <w:t>(Figure 1h)</w:t>
      </w:r>
      <w:r w:rsidR="00B13699" w:rsidRPr="002A6BA8">
        <w:rPr>
          <w:lang w:eastAsia="en-GB"/>
        </w:rPr>
        <w:t xml:space="preserve">, on the other side, can provide information on the slower trap-mediated </w:t>
      </w:r>
      <w:r w:rsidR="00B13699" w:rsidRPr="002A6BA8">
        <w:rPr>
          <w:lang w:eastAsia="en-GB"/>
        </w:rPr>
        <w:lastRenderedPageBreak/>
        <w:t>recombination processes</w:t>
      </w:r>
      <w:r w:rsidRPr="002A6BA8">
        <w:rPr>
          <w:lang w:eastAsia="en-GB"/>
        </w:rPr>
        <w:t xml:space="preserve">. </w:t>
      </w:r>
      <w:r w:rsidR="00EA5133" w:rsidRPr="002A6BA8">
        <w:rPr>
          <w:lang w:eastAsia="en-GB"/>
        </w:rPr>
        <w:t xml:space="preserve">Comparing </w:t>
      </w:r>
      <w:r w:rsidR="00B13699" w:rsidRPr="002A6BA8">
        <w:rPr>
          <w:lang w:eastAsia="en-GB"/>
        </w:rPr>
        <w:t xml:space="preserve">the </w:t>
      </w:r>
      <w:r w:rsidR="00EA5133" w:rsidRPr="002A6BA8">
        <w:rPr>
          <w:lang w:eastAsia="en-GB"/>
        </w:rPr>
        <w:t>long living tail,</w:t>
      </w:r>
      <w:r w:rsidRPr="002A6BA8">
        <w:rPr>
          <w:lang w:eastAsia="en-GB"/>
        </w:rPr>
        <w:t xml:space="preserve"> no</w:t>
      </w:r>
      <w:r w:rsidR="00BE5745" w:rsidRPr="002A6BA8">
        <w:rPr>
          <w:lang w:eastAsia="en-GB"/>
        </w:rPr>
        <w:t>t</w:t>
      </w:r>
      <w:r w:rsidRPr="002A6BA8">
        <w:rPr>
          <w:lang w:eastAsia="en-GB"/>
        </w:rPr>
        <w:t xml:space="preserve"> much difference is observed when C</w:t>
      </w:r>
      <w:r w:rsidRPr="002A6BA8">
        <w:rPr>
          <w:vertAlign w:val="subscript"/>
          <w:lang w:eastAsia="en-GB"/>
        </w:rPr>
        <w:t>70</w:t>
      </w:r>
      <w:r w:rsidRPr="002A6BA8">
        <w:rPr>
          <w:lang w:eastAsia="en-GB"/>
        </w:rPr>
        <w:t xml:space="preserve"> is incorporated in the MAPbI</w:t>
      </w:r>
      <w:r w:rsidRPr="002A6BA8">
        <w:rPr>
          <w:vertAlign w:val="subscript"/>
          <w:lang w:eastAsia="en-GB"/>
        </w:rPr>
        <w:t>3</w:t>
      </w:r>
      <w:r w:rsidRPr="002A6BA8">
        <w:rPr>
          <w:lang w:eastAsia="en-GB"/>
        </w:rPr>
        <w:t>, enabling us to infer that the two material</w:t>
      </w:r>
      <w:r w:rsidR="00BE5745" w:rsidRPr="002A6BA8">
        <w:rPr>
          <w:lang w:eastAsia="en-GB"/>
        </w:rPr>
        <w:t>s</w:t>
      </w:r>
      <w:r w:rsidRPr="002A6BA8">
        <w:rPr>
          <w:lang w:eastAsia="en-GB"/>
        </w:rPr>
        <w:t xml:space="preserve"> possess a similar trapping rate and density. </w:t>
      </w:r>
      <w:r w:rsidR="00A56E51" w:rsidRPr="002A6BA8">
        <w:rPr>
          <w:lang w:eastAsia="en-GB"/>
        </w:rPr>
        <w:t>However, i</w:t>
      </w:r>
      <w:r w:rsidRPr="002A6BA8">
        <w:rPr>
          <w:lang w:eastAsia="en-GB"/>
        </w:rPr>
        <w:t>t is worth pointing out that a wide distribution of trap species exist in perovskite</w:t>
      </w:r>
      <w:r w:rsidR="00316005" w:rsidRPr="002A6BA8">
        <w:rPr>
          <w:lang w:eastAsia="en-GB"/>
        </w:rPr>
        <w:t>s</w:t>
      </w:r>
      <w:r w:rsidRPr="002A6BA8">
        <w:rPr>
          <w:lang w:eastAsia="en-GB"/>
        </w:rPr>
        <w:t xml:space="preserve"> </w:t>
      </w:r>
      <w:r w:rsidR="008160F3" w:rsidRPr="002A6BA8">
        <w:rPr>
          <w:lang w:eastAsia="en-GB"/>
        </w:rPr>
        <w:fldChar w:fldCharType="begin"/>
      </w:r>
      <w:r w:rsidR="008160F3" w:rsidRPr="002A6BA8">
        <w:rPr>
          <w:lang w:eastAsia="en-GB"/>
        </w:rPr>
        <w:instrText xml:space="preserve"> ADDIN ZOTERO_ITEM CSL_CITATION {"citationID":"5of675a2t","properties":{"formattedCitation":"{\\rtf \\super [33,34]\\nosupersub{}}","plainCitation":"[33,34]"},"citationItems":[{"id":98,"uris":["http://zotero.org/users/local/6uiBC8Ma/items/NTA5N5HS"],"uri":["http://zotero.org/users/local/6uiBC8Ma/items/NTA5N5HS"],"itemData":{"id":98,"type":"article-journal","title":"Identification of Trap States in Perovskite Solar Cells","container-title":"The Journal of Physical Chemistry Letters","page":"2350-2354","volume":"6","issue":"12","source":"ACS Publications","abstract":"Thermally stimulated current (TSC) measurements are used to characterize electronic trap states in methylammonium lead iodide perovsite solar cells. Several TSC peaks were observed over the temperature range from 20 K to room temperature. To elucidate the origins of these peaks, devices with various organic charge transport layers and devices without transport layers were tested. Two peaks appear at very low temperatures, indicating shallow trap states that are mainly attributed to the PCBM/C60 electron transport bilayer. However, two additional peaks appear at higher temperatures, that is, they are deeper in energy, and are assigned to the perovskite layer. At around T = 163 K, a sharp peak, also present in the dark TSC measurements, is assigned to the orthorhombic–tetragonal phase transition in the perovskite. However, a peak at around T = 191 K is assigned to trap states with activation energies of around 500 meV but with a rather low concentration of 1 × 1021 m–3.","DOI":"10.1021/acs.jpclett.5b00953","ISSN":"1948-7185","journalAbbreviation":"J. Phys. Chem. Lett.","author":[{"family":"Baumann","given":"Andreas"},{"family":"Väth","given":"Stefan"},{"family":"Rieder","given":"Philipp"},{"family":"Heiber","given":"Michael C."},{"family":"Tvingstedt","given":"Kristofer"},{"family":"Dyakonov","given":"Vladimir"}],"issued":{"date-parts":[["2015",6,18]]}}},{"id":783,"uris":["http://zotero.org/users/local/6uiBC8Ma/items/54V3SPWX"],"uri":["http://zotero.org/users/local/6uiBC8Ma/items/54V3SPWX"],"itemData":{"id":783,"type":"article-journal","title":"Shallow trapping vs. deep polarons in a hybrid lead halide perovskite, CH3NH3PbI3","container-title":"Physical Chemistry Chemical Physics","source":"pubs.rsc.org","abstract":"There has been considerable speculation over the nature of charge carriers in organic–inorganic hybrid perovskites, i.e., whether they are free and band-like, or they are prone to self-trapping via short range deformation potentials. Unusually long minority-carrier diffusion lengths and moderate-to-low mobilities, together with relatively few deep defects add to their intrigue. Here we implement density functional methods to investigate the room-temperature, tetragonal phase of CH3NH3PbI3. We compare charge localization behavior at shallow levels and associated lattice relaxation versus those at deep polaronic states. The shallow level originates from screened Coulomb interaction between the perturbed host and an excited electron or hole. The host lattice has a tendency towards forming these shallow traps where the electron or hole is localized not too far from the band edge. In contrast, there is a considerable potential barrier that must be overcome in order to initiate polaronic hole trapping. The formation of a hole polaron (I2− center) involves strong lattice relaxation, including large off-center displacement of the organic cation, CH3NH3+. This type of deep polaron is energetically unfavorable, and active shallow traps are expected to shape the carrier dynamics in this material.","URL":"http://pubs.rsc.org/en/content/articlelanding/2017/cp/c7cp04417h","DOI":"10.1039/C7CP04417H","ISSN":"1463-9084","journalAbbreviation":"Phys. Chem. Chem. Phys.","language":"en","author":[{"family":"Kang","given":"Byungkyun"},{"family":"Biswas","given":"Koushik"}],"issued":{"date-parts":[["2017",8,16]]},"accessed":{"date-parts":[["2017",9,8]]}}}],"schema":"https://github.com/citation-style-language/schema/raw/master/csl-citation.json"} </w:instrText>
      </w:r>
      <w:r w:rsidR="008160F3" w:rsidRPr="002A6BA8">
        <w:rPr>
          <w:lang w:eastAsia="en-GB"/>
        </w:rPr>
        <w:fldChar w:fldCharType="separate"/>
      </w:r>
      <w:r w:rsidR="008160F3" w:rsidRPr="002A6BA8">
        <w:rPr>
          <w:vertAlign w:val="superscript"/>
        </w:rPr>
        <w:t>[33,34]</w:t>
      </w:r>
      <w:r w:rsidR="008160F3" w:rsidRPr="002A6BA8">
        <w:rPr>
          <w:lang w:eastAsia="en-GB"/>
        </w:rPr>
        <w:fldChar w:fldCharType="end"/>
      </w:r>
      <w:r w:rsidR="008160F3" w:rsidRPr="002A6BA8">
        <w:rPr>
          <w:lang w:eastAsia="en-GB"/>
        </w:rPr>
        <w:t xml:space="preserve"> </w:t>
      </w:r>
      <w:r w:rsidRPr="002A6BA8">
        <w:rPr>
          <w:lang w:eastAsia="en-GB"/>
        </w:rPr>
        <w:t>and, more recently, shallow traps have been identified which get populated within 1 ns</w:t>
      </w:r>
      <w:r w:rsidR="008160F3" w:rsidRPr="002A6BA8">
        <w:rPr>
          <w:lang w:eastAsia="en-GB"/>
        </w:rPr>
        <w:t xml:space="preserve"> </w:t>
      </w:r>
      <w:r w:rsidR="008160F3" w:rsidRPr="002A6BA8">
        <w:rPr>
          <w:lang w:eastAsia="en-GB"/>
        </w:rPr>
        <w:fldChar w:fldCharType="begin"/>
      </w:r>
      <w:r w:rsidR="008160F3" w:rsidRPr="002A6BA8">
        <w:rPr>
          <w:lang w:eastAsia="en-GB"/>
        </w:rPr>
        <w:instrText xml:space="preserve"> ADDIN ZOTERO_ITEM CSL_CITATION {"citationID":"1mv6tk2i74","properties":{"formattedCitation":"{\\rtf \\super [29,35]\\nosupersub{}}","plainCitation":"[29,35]"},"citationItems":[{"id":766,"uris":["http://zotero.org/users/local/6uiBC8Ma/items/NJZ7ZHME"],"uri":["http://zotero.org/users/local/6uiBC8Ma/items/NJZ7ZHME"],"itemData":{"id":766,"type":"article-journal","title":"Interfacial Charge-Carrier Trapping in CH3NH3PbI3-Based Heterolayered Structures Revealed by Time-Resolved Photoluminescence Spectroscopy","container-title":"The Journal of Physical Chemistry Letters","page":"1972-1977","volume":"7","issue":"11","source":"ACS Publications","abstract":"The fast-decaying component of photoluminescence (PL) under very weak pulse photoexcitation is dominated by the rapid relaxation of the photoexcited carriers into a small number of carrier-trapping defect states. Here, we report the subnanosecond decay of the PL under excitation weaker than 1 nJ/cm2 both in CH3NH3PbI3-based heterostructures and bare thin films. The trap-site density at the interface was evaluated on the basis of the fluence-dependent PL decay profiles. It was found that high-density defects determining the PL decay dynamics are formed near the interface between CH3NH3PbI3 and the hole-transporting Spiro-OMeTAD but not at the CH3NH3PbI3/TiO2 interface and the interior regions of CH3NH3PbI3 films. This finding can aid the fabrication of high-quality heterointerfaces, which are required improving the photoconversion efficiency of perovskite-based solar cells.","DOI":"10.1021/acs.jpclett.6b00653","ISSN":"1948-7185","journalAbbreviation":"J. Phys. Chem. Lett.","author":[{"family":"Yamada","given":"Yasuhiro"},{"family":"Yamada","given":"Takumi"},{"family":"Shimazaki","given":"Ai"},{"family":"Wakamiya","given":"Atsushi"},{"family":"Kanemitsu","given":"Yoshihiko"}],"issued":{"date-parts":[["2016",6,2]]}}},{"id":101,"uris":["http://zotero.org/users/local/6uiBC8Ma/items/KT6PES4Z"],"uri":["http://zotero.org/users/local/6uiBC8Ma/items/KT6PES4Z"],"itemData":{"id":101,"type":"article-journal","title":"Nonlinear Carrier Interactions in Lead Halide Perovskites and the Role of Defects","container-title":"Journal of the American Chemical Society","page":"13604-13611","volume":"138","issue":"41","source":"ACS Publications","abstract":"The simple solution processability at room temperature exposes lead halide perovskite semiconductors to a non-negligible level of unintentional structural and chemical defects. Ascertained that their primary optoelectronic properties meet the requirement for high efficiency optoelectronic technologies, a lack of knowledge about the nature of defects and their role in the device operation currently is a major challenge for their market-scale application due to the issues with stability and reliability. Here, we use excitation correlation photoluminescence (ECPL) spectroscopy to investigate the recombination dynamics of the photogenerated carriers in lead bromide perovskites and quantitatively describe the carrier trapping dynamics within a generalization of the Shockley–Read–Hall formalism. The superior sensitivity of our spectroscopic tool to the many-body interactions enables us to identify the energetics of the defects. In fact, in the case of polycrystalline films, depending on the synthetic route, we demonstrate the presence of both deep and shallow carrier traps. The shallow defects, which are situated at about 20 meV below the conduction band, dope the semiconductor, leading to a substantial enhancement of the photoluminescence quantum yield despite carrier trapping. At excitation densities relevant for lasing, we observe breakdown of the rate-equation model, indicating a buildup of a highly correlated regime of the photocarrier population that suppresses the nonradiative Auger recombination. Furthermore, we demonstrate that colloidal nanocrystals represent virtually defect-free systems, suffering from nonradiative quenching only due to subpicosecond Auger-like interactions at high excitation density. By correlating the fabrication conditions to the nonradiative loss channels, this work provides guidelines for material engineering towards superior optoelectronic devices.","DOI":"10.1021/jacs.6b06463","ISSN":"0002-7863","journalAbbreviation":"J. Am. Chem. Soc.","author":[{"family":"Srimath Kandada","given":"Ajay Ram"},{"family":"Neutzner","given":"Stefanie"},{"family":"D’Innocenzo","given":"Valerio"},{"family":"Tassone","given":"Francesco"},{"family":"Gandini","given":"Marina"},{"family":"Akkerman","given":"Quinten A."},{"family":"Prato","given":"Mirko"},{"family":"Manna","given":"Liberato"},{"family":"Petrozza","given":"Annamaria"},{"family":"Lanzani","given":"Guglielmo"}],"issued":{"date-parts":[["2016",10,19]]}}}],"schema":"https://github.com/citation-style-language/schema/raw/master/csl-citation.json"} </w:instrText>
      </w:r>
      <w:r w:rsidR="008160F3" w:rsidRPr="002A6BA8">
        <w:rPr>
          <w:lang w:eastAsia="en-GB"/>
        </w:rPr>
        <w:fldChar w:fldCharType="separate"/>
      </w:r>
      <w:r w:rsidR="008160F3" w:rsidRPr="002A6BA8">
        <w:rPr>
          <w:vertAlign w:val="superscript"/>
        </w:rPr>
        <w:t>[29,35]</w:t>
      </w:r>
      <w:r w:rsidR="008160F3" w:rsidRPr="002A6BA8">
        <w:rPr>
          <w:lang w:eastAsia="en-GB"/>
        </w:rPr>
        <w:fldChar w:fldCharType="end"/>
      </w:r>
      <w:r w:rsidRPr="002A6BA8">
        <w:rPr>
          <w:lang w:eastAsia="en-GB"/>
        </w:rPr>
        <w:t xml:space="preserve">. </w:t>
      </w:r>
      <w:r w:rsidR="00EC161E" w:rsidRPr="002A6BA8">
        <w:rPr>
          <w:lang w:eastAsia="en-GB"/>
        </w:rPr>
        <w:t>Thus,</w:t>
      </w:r>
      <w:r w:rsidRPr="002A6BA8">
        <w:rPr>
          <w:lang w:eastAsia="en-GB"/>
        </w:rPr>
        <w:t xml:space="preserve"> a possible effect of C</w:t>
      </w:r>
      <w:r w:rsidRPr="002A6BA8">
        <w:rPr>
          <w:vertAlign w:val="subscript"/>
          <w:lang w:eastAsia="en-GB"/>
        </w:rPr>
        <w:t>70</w:t>
      </w:r>
      <w:r w:rsidRPr="002A6BA8">
        <w:rPr>
          <w:lang w:eastAsia="en-GB"/>
        </w:rPr>
        <w:t xml:space="preserve"> on trap</w:t>
      </w:r>
      <w:r w:rsidR="00CE0F5F" w:rsidRPr="002A6BA8">
        <w:rPr>
          <w:lang w:eastAsia="en-GB"/>
        </w:rPr>
        <w:t xml:space="preserve"> states</w:t>
      </w:r>
      <w:r w:rsidRPr="002A6BA8">
        <w:rPr>
          <w:lang w:eastAsia="en-GB"/>
        </w:rPr>
        <w:t xml:space="preserve"> cannot be entirely ruled out. </w:t>
      </w:r>
      <w:r w:rsidR="00A56E51" w:rsidRPr="002A6BA8">
        <w:rPr>
          <w:lang w:eastAsia="en-GB"/>
        </w:rPr>
        <w:t>Moreover</w:t>
      </w:r>
      <w:r w:rsidRPr="002A6BA8">
        <w:rPr>
          <w:lang w:eastAsia="en-GB"/>
        </w:rPr>
        <w:t>, upon zooming out the PL decay in the first tens of ns (see Figure S5), a fast PL quenching is visible</w:t>
      </w:r>
      <w:r w:rsidR="00A56E51" w:rsidRPr="002A6BA8">
        <w:rPr>
          <w:lang w:eastAsia="en-GB"/>
        </w:rPr>
        <w:t xml:space="preserve"> in presence of C</w:t>
      </w:r>
      <w:r w:rsidR="00A56E51" w:rsidRPr="002A6BA8">
        <w:rPr>
          <w:vertAlign w:val="subscript"/>
          <w:lang w:eastAsia="en-GB"/>
        </w:rPr>
        <w:t>70</w:t>
      </w:r>
      <w:r w:rsidRPr="002A6BA8">
        <w:rPr>
          <w:lang w:eastAsia="en-GB"/>
        </w:rPr>
        <w:t xml:space="preserve">. Upon fitting the PL decay with a single-exponential function convoluted with a gaussian (which represents the response time of the instrument), the estimated PL lifetime </w:t>
      </w:r>
      <w:r w:rsidR="00316005" w:rsidRPr="002A6BA8">
        <w:rPr>
          <w:lang w:eastAsia="en-GB"/>
        </w:rPr>
        <w:t>for MAPbI</w:t>
      </w:r>
      <w:r w:rsidR="00316005" w:rsidRPr="002A6BA8">
        <w:rPr>
          <w:vertAlign w:val="subscript"/>
          <w:lang w:eastAsia="en-GB"/>
        </w:rPr>
        <w:t>3</w:t>
      </w:r>
      <w:r w:rsidR="00316005" w:rsidRPr="002A6BA8">
        <w:rPr>
          <w:lang w:eastAsia="en-GB"/>
        </w:rPr>
        <w:t>:C</w:t>
      </w:r>
      <w:r w:rsidR="00316005" w:rsidRPr="002A6BA8">
        <w:rPr>
          <w:vertAlign w:val="subscript"/>
          <w:lang w:eastAsia="en-GB"/>
        </w:rPr>
        <w:t>70</w:t>
      </w:r>
      <w:r w:rsidR="00316005" w:rsidRPr="002A6BA8">
        <w:rPr>
          <w:lang w:eastAsia="en-GB"/>
        </w:rPr>
        <w:t xml:space="preserve"> </w:t>
      </w:r>
      <w:r w:rsidRPr="002A6BA8">
        <w:rPr>
          <w:lang w:eastAsia="en-GB"/>
        </w:rPr>
        <w:t xml:space="preserve">falls within 1ns, setting </w:t>
      </w:r>
      <w:r w:rsidR="00316005" w:rsidRPr="002A6BA8">
        <w:rPr>
          <w:lang w:eastAsia="en-GB"/>
        </w:rPr>
        <w:t xml:space="preserve">an </w:t>
      </w:r>
      <w:r w:rsidRPr="002A6BA8">
        <w:rPr>
          <w:lang w:eastAsia="en-GB"/>
        </w:rPr>
        <w:t>upper limit for the electron transfer process, in agreement with established literature</w:t>
      </w:r>
      <w:r w:rsidR="00DA0CF3" w:rsidRPr="002A6BA8">
        <w:rPr>
          <w:lang w:eastAsia="en-GB"/>
        </w:rPr>
        <w:t>.</w:t>
      </w:r>
      <w:r w:rsidR="00CE0F5F" w:rsidRPr="002A6BA8">
        <w:rPr>
          <w:lang w:eastAsia="en-GB"/>
        </w:rPr>
        <w:t xml:space="preserve"> </w:t>
      </w:r>
      <w:r w:rsidR="00CE0F5F" w:rsidRPr="002A6BA8">
        <w:rPr>
          <w:lang w:eastAsia="en-GB"/>
        </w:rPr>
        <w:fldChar w:fldCharType="begin"/>
      </w:r>
      <w:r w:rsidR="00CE0F5F" w:rsidRPr="002A6BA8">
        <w:rPr>
          <w:lang w:eastAsia="en-GB"/>
        </w:rPr>
        <w:instrText xml:space="preserve"> ADDIN ZOTERO_ITEM CSL_CITATION {"citationID":"v74ddacj8","properties":{"formattedCitation":"{\\rtf \\super [18]\\nosupersub{}}","plainCitation":"[18]"},"citationItems":[{"id":426,"uris":["http://zotero.org/users/local/6uiBC8Ma/items/C7SRRD79"],"uri":["http://zotero.org/users/local/6uiBC8Ma/items/C7SRRD79"],"itemData":{"id":426,"type":"article-journal","title":"Mechanism of Charge Transfer and Recombination Dynamics in Organo Metal Halide Perovskites and Organic Electrodes, PCBM, and Spiro-OMeTAD: Role of Dark Carriers","container-title":"Journal of the American Chemical Society","page":"16043-16048","volume":"137","issue":"51","source":"ACS Publications","abstract":"Despite the unprecedented interest in organic–inorganic metal halide perovskite solar cells, quantitative information on the charge transfer dynamics into selective electrodes is still lacking. In this paper, we report the time scales and mechanisms of electron and hole injection and recombination dynamics at organic PCBM and Spiro-OMeTAD electrode interfaces. On the one hand, hole transfer is complete on the subpicosecond time scale in MAPbI3/Spiro-OMeTAD, and its recombination rate is similar to that in neat MAPbI3. This was found to be due to a high concentration of dark charges, i.e., holes brought about by unintentional p-type doping of MAPbI3. Hence, the total concentration of holes in the perovskite is hardly affected by optical excitation, which manifested as similar decay kinetics. On the other hand, the decay of the photoinduced conductivity in MAPbI3/PCBM is on the time scale of hundreds of picoseconds to several nanoseconds, due to electron injection into PCBM and electron–hole recombination at the interface occurring at similar rates. These results highlight the importance of understanding the role of dark carriers in deconvoluting the complex photophysical processes in these materials. Moreover, optimizing the preparation processes wherein undesired doping is minimized could prompt the use of organic molecules as a more viable electrode substitute for perovskite solar cell devices.","DOI":"10.1021/jacs.5b08770","ISSN":"0002-7863","shortTitle":"Mechanism of Charge Transfer and Recombination Dynamics in Organo Metal Halide Perovskites and Organic Electrodes, PCBM, and Spiro-OMeTAD","journalAbbreviation":"J. Am. Chem. Soc.","author":[{"family":"Ponseca","given":"Carlito S."},{"family":"Hutter","given":"Eline M."},{"family":"Piatkowski","given":"Piotr"},{"family":"Cohen","given":"Boiko"},{"family":"Pascher","given":"Torbjörn"},{"family":"Douhal","given":"Abderrazzak"},{"family":"Yartsev","given":"Arkady"},{"family":"Sundström","given":"Villy"},{"family":"Savenije","given":"Tom J."}],"issued":{"date-parts":[["2015",12,30]]}}}],"schema":"https://github.com/citation-style-language/schema/raw/master/csl-citation.json"} </w:instrText>
      </w:r>
      <w:r w:rsidR="00CE0F5F" w:rsidRPr="002A6BA8">
        <w:rPr>
          <w:lang w:eastAsia="en-GB"/>
        </w:rPr>
        <w:fldChar w:fldCharType="separate"/>
      </w:r>
      <w:r w:rsidR="00CE0F5F" w:rsidRPr="002A6BA8">
        <w:rPr>
          <w:vertAlign w:val="superscript"/>
        </w:rPr>
        <w:t>[18]</w:t>
      </w:r>
      <w:r w:rsidR="00CE0F5F" w:rsidRPr="002A6BA8">
        <w:rPr>
          <w:lang w:eastAsia="en-GB"/>
        </w:rPr>
        <w:fldChar w:fldCharType="end"/>
      </w:r>
      <w:r w:rsidRPr="002A6BA8">
        <w:rPr>
          <w:lang w:eastAsia="en-GB"/>
        </w:rPr>
        <w:t xml:space="preserve"> </w:t>
      </w:r>
    </w:p>
    <w:p w:rsidR="00E05545" w:rsidRPr="002A6BA8" w:rsidRDefault="00E05545" w:rsidP="00A92DE8">
      <w:pPr>
        <w:spacing w:line="480" w:lineRule="auto"/>
        <w:rPr>
          <w:lang w:eastAsia="en-GB"/>
        </w:rPr>
      </w:pPr>
      <w:r w:rsidRPr="002A6BA8">
        <w:rPr>
          <w:lang w:eastAsia="en-GB"/>
        </w:rPr>
        <w:t xml:space="preserve">To further understand the origin of the PB/PL quenching, we performed sub-picosecond TA by means of </w:t>
      </w:r>
      <w:r w:rsidR="00316005" w:rsidRPr="002A6BA8">
        <w:rPr>
          <w:lang w:eastAsia="en-GB"/>
        </w:rPr>
        <w:t xml:space="preserve">a </w:t>
      </w:r>
      <w:r w:rsidR="001C3E4F" w:rsidRPr="002A6BA8">
        <w:rPr>
          <w:lang w:eastAsia="en-GB"/>
        </w:rPr>
        <w:t xml:space="preserve">narrowband pump </w:t>
      </w:r>
      <w:r w:rsidR="00E07A56" w:rsidRPr="002A6BA8">
        <w:rPr>
          <w:lang w:eastAsia="en-GB"/>
        </w:rPr>
        <w:t>combined with a</w:t>
      </w:r>
      <w:r w:rsidR="001C3E4F" w:rsidRPr="002A6BA8">
        <w:rPr>
          <w:lang w:eastAsia="en-GB"/>
        </w:rPr>
        <w:t xml:space="preserve"> broadband probe (</w:t>
      </w:r>
      <w:r w:rsidR="00DA0CF3" w:rsidRPr="002A6BA8">
        <w:rPr>
          <w:lang w:eastAsia="en-GB"/>
        </w:rPr>
        <w:t xml:space="preserve">generating </w:t>
      </w:r>
      <w:r w:rsidR="001C3E4F" w:rsidRPr="002A6BA8">
        <w:rPr>
          <w:lang w:eastAsia="en-GB"/>
        </w:rPr>
        <w:t>white light from a CaF</w:t>
      </w:r>
      <w:r w:rsidR="001C3E4F" w:rsidRPr="002A6BA8">
        <w:rPr>
          <w:vertAlign w:val="subscript"/>
          <w:lang w:eastAsia="en-GB"/>
        </w:rPr>
        <w:t>2</w:t>
      </w:r>
      <w:r w:rsidR="001C3E4F" w:rsidRPr="002A6BA8">
        <w:rPr>
          <w:lang w:eastAsia="en-GB"/>
        </w:rPr>
        <w:t xml:space="preserve"> plate from 350 to 780 nm). </w:t>
      </w:r>
      <w:r w:rsidR="00BE508D" w:rsidRPr="002A6BA8">
        <w:rPr>
          <w:lang w:eastAsia="en-GB"/>
        </w:rPr>
        <w:t xml:space="preserve">Interestingly, </w:t>
      </w:r>
      <w:r w:rsidRPr="002A6BA8">
        <w:rPr>
          <w:lang w:eastAsia="en-GB"/>
        </w:rPr>
        <w:t>there is</w:t>
      </w:r>
      <w:r w:rsidR="00CE0F5F" w:rsidRPr="002A6BA8">
        <w:rPr>
          <w:lang w:eastAsia="en-GB"/>
        </w:rPr>
        <w:t xml:space="preserve"> only one report in literature </w:t>
      </w:r>
      <w:r w:rsidR="00CE0F5F" w:rsidRPr="002A6BA8">
        <w:rPr>
          <w:vertAlign w:val="superscript"/>
        </w:rPr>
        <w:t xml:space="preserve">[36] </w:t>
      </w:r>
      <w:r w:rsidRPr="002A6BA8">
        <w:rPr>
          <w:lang w:eastAsia="en-GB"/>
        </w:rPr>
        <w:t xml:space="preserve">showing </w:t>
      </w:r>
      <w:r w:rsidR="00316005" w:rsidRPr="002A6BA8">
        <w:rPr>
          <w:lang w:eastAsia="en-GB"/>
        </w:rPr>
        <w:t>TA spectra in this high probe photon energy region</w:t>
      </w:r>
      <w:r w:rsidRPr="002A6BA8">
        <w:rPr>
          <w:lang w:eastAsia="en-GB"/>
        </w:rPr>
        <w:t xml:space="preserve">. </w:t>
      </w:r>
      <w:r w:rsidR="00DA0CF3" w:rsidRPr="002A6BA8">
        <w:rPr>
          <w:lang w:eastAsia="en-GB"/>
        </w:rPr>
        <w:t>We excite the MAPbI</w:t>
      </w:r>
      <w:r w:rsidR="00DA0CF3" w:rsidRPr="002A6BA8">
        <w:rPr>
          <w:vertAlign w:val="subscript"/>
          <w:lang w:eastAsia="en-GB"/>
        </w:rPr>
        <w:t xml:space="preserve">3 </w:t>
      </w:r>
      <w:r w:rsidR="00DA0CF3" w:rsidRPr="002A6BA8">
        <w:rPr>
          <w:lang w:eastAsia="en-GB"/>
        </w:rPr>
        <w:t xml:space="preserve">slightly above the band gap using </w:t>
      </w:r>
      <w:r w:rsidR="00B13699" w:rsidRPr="002A6BA8">
        <w:rPr>
          <w:lang w:eastAsia="en-GB"/>
        </w:rPr>
        <w:t>650 nm</w:t>
      </w:r>
      <w:r w:rsidR="00DA0CF3" w:rsidRPr="002A6BA8">
        <w:rPr>
          <w:lang w:eastAsia="en-GB"/>
        </w:rPr>
        <w:t xml:space="preserve"> pulse (duration 100fs) with a</w:t>
      </w:r>
      <w:r w:rsidR="00B13699" w:rsidRPr="002A6BA8">
        <w:rPr>
          <w:lang w:eastAsia="en-GB"/>
        </w:rPr>
        <w:t xml:space="preserve"> fluence of 4.7 μJ/cm</w:t>
      </w:r>
      <w:r w:rsidR="00B13699" w:rsidRPr="002A6BA8">
        <w:rPr>
          <w:vertAlign w:val="superscript"/>
          <w:lang w:eastAsia="en-GB"/>
        </w:rPr>
        <w:t>2</w:t>
      </w:r>
      <w:r w:rsidR="00B13699" w:rsidRPr="002A6BA8">
        <w:rPr>
          <w:lang w:eastAsia="en-GB"/>
        </w:rPr>
        <w:t>, corresponding to a charge density of around 10</w:t>
      </w:r>
      <w:r w:rsidR="00B13699" w:rsidRPr="002A6BA8">
        <w:rPr>
          <w:vertAlign w:val="superscript"/>
          <w:lang w:eastAsia="en-GB"/>
        </w:rPr>
        <w:t xml:space="preserve">18 </w:t>
      </w:r>
      <w:r w:rsidR="00B13699" w:rsidRPr="002A6BA8">
        <w:rPr>
          <w:lang w:eastAsia="en-GB"/>
        </w:rPr>
        <w:t>cm</w:t>
      </w:r>
      <w:r w:rsidR="00B13699" w:rsidRPr="002A6BA8">
        <w:rPr>
          <w:vertAlign w:val="superscript"/>
          <w:lang w:eastAsia="en-GB"/>
        </w:rPr>
        <w:t>−3</w:t>
      </w:r>
      <w:r w:rsidR="00B13699" w:rsidRPr="002A6BA8">
        <w:rPr>
          <w:lang w:eastAsia="en-GB"/>
        </w:rPr>
        <w:t xml:space="preserve">. </w:t>
      </w:r>
      <w:r w:rsidR="00DA0CF3" w:rsidRPr="002A6BA8">
        <w:rPr>
          <w:lang w:eastAsia="en-GB"/>
        </w:rPr>
        <w:t>Upon photoexcitation,</w:t>
      </w:r>
      <w:r w:rsidR="001C3E4F" w:rsidRPr="002A6BA8">
        <w:rPr>
          <w:lang w:eastAsia="en-GB"/>
        </w:rPr>
        <w:t xml:space="preserve"> three positive </w:t>
      </w:r>
      <w:r w:rsidR="001C3E4F" w:rsidRPr="002A6BA8">
        <w:rPr>
          <w:lang w:eastAsia="en-GB"/>
        </w:rPr>
        <w:sym w:font="Symbol" w:char="F044"/>
      </w:r>
      <w:r w:rsidR="001C3E4F" w:rsidRPr="002A6BA8">
        <w:rPr>
          <w:lang w:eastAsia="en-GB"/>
        </w:rPr>
        <w:t xml:space="preserve">T/T features </w:t>
      </w:r>
      <w:r w:rsidR="00DA0CF3" w:rsidRPr="002A6BA8">
        <w:rPr>
          <w:lang w:eastAsia="en-GB"/>
        </w:rPr>
        <w:t xml:space="preserve">appear, </w:t>
      </w:r>
      <w:r w:rsidR="001C3E4F" w:rsidRPr="002A6BA8">
        <w:rPr>
          <w:lang w:eastAsia="en-GB"/>
        </w:rPr>
        <w:t>peaking at 750 nm, 490 nm, and 410 nm (</w:t>
      </w:r>
      <w:r w:rsidR="001C3E4F" w:rsidRPr="002A6BA8">
        <w:rPr>
          <w:b/>
          <w:lang w:eastAsia="en-GB"/>
        </w:rPr>
        <w:t>Figure 2a</w:t>
      </w:r>
      <w:r w:rsidR="001C3E4F" w:rsidRPr="002A6BA8">
        <w:rPr>
          <w:lang w:eastAsia="en-GB"/>
        </w:rPr>
        <w:t>).</w:t>
      </w:r>
      <w:r w:rsidRPr="002A6BA8">
        <w:rPr>
          <w:lang w:eastAsia="en-GB"/>
        </w:rPr>
        <w:t xml:space="preserve"> </w:t>
      </w:r>
      <w:r w:rsidR="009A52C7" w:rsidRPr="002A6BA8">
        <w:rPr>
          <w:lang w:eastAsia="en-GB"/>
        </w:rPr>
        <w:t>T</w:t>
      </w:r>
      <w:r w:rsidRPr="002A6BA8">
        <w:rPr>
          <w:lang w:eastAsia="en-GB"/>
        </w:rPr>
        <w:t>he band</w:t>
      </w:r>
      <w:r w:rsidR="00316005" w:rsidRPr="002A6BA8">
        <w:rPr>
          <w:lang w:eastAsia="en-GB"/>
        </w:rPr>
        <w:t>s</w:t>
      </w:r>
      <w:r w:rsidRPr="002A6BA8">
        <w:rPr>
          <w:lang w:eastAsia="en-GB"/>
        </w:rPr>
        <w:t xml:space="preserve"> at 750 and at 490 nm have been already reported in literature and</w:t>
      </w:r>
      <w:r w:rsidR="009A52C7" w:rsidRPr="002A6BA8">
        <w:rPr>
          <w:lang w:eastAsia="en-GB"/>
        </w:rPr>
        <w:t xml:space="preserve"> certainly</w:t>
      </w:r>
      <w:r w:rsidRPr="002A6BA8">
        <w:rPr>
          <w:lang w:eastAsia="en-GB"/>
        </w:rPr>
        <w:t xml:space="preserve"> assigned to the PB upon state filling of the perovskite conduction band (CB) and first and second valence band (VB), re</w:t>
      </w:r>
      <w:r w:rsidR="00CE0F5F" w:rsidRPr="002A6BA8">
        <w:rPr>
          <w:lang w:eastAsia="en-GB"/>
        </w:rPr>
        <w:t>spectively</w:t>
      </w:r>
      <w:r w:rsidR="00A9030A" w:rsidRPr="002A6BA8">
        <w:rPr>
          <w:lang w:eastAsia="en-GB"/>
        </w:rPr>
        <w:t>, i.e. VB</w:t>
      </w:r>
      <w:r w:rsidR="00A9030A" w:rsidRPr="002A6BA8">
        <w:rPr>
          <w:vertAlign w:val="subscript"/>
          <w:lang w:eastAsia="en-GB"/>
        </w:rPr>
        <w:t>1</w:t>
      </w:r>
      <w:r w:rsidR="00A9030A" w:rsidRPr="002A6BA8">
        <w:rPr>
          <w:lang w:eastAsia="en-GB"/>
        </w:rPr>
        <w:sym w:font="Wingdings" w:char="F0E0"/>
      </w:r>
      <w:r w:rsidR="00A9030A" w:rsidRPr="002A6BA8">
        <w:rPr>
          <w:lang w:eastAsia="en-GB"/>
        </w:rPr>
        <w:t>CB</w:t>
      </w:r>
      <w:r w:rsidR="00A9030A" w:rsidRPr="002A6BA8">
        <w:rPr>
          <w:vertAlign w:val="subscript"/>
          <w:lang w:eastAsia="en-GB"/>
        </w:rPr>
        <w:t>1</w:t>
      </w:r>
      <w:r w:rsidR="00A9030A" w:rsidRPr="002A6BA8">
        <w:rPr>
          <w:lang w:eastAsia="en-GB"/>
        </w:rPr>
        <w:t xml:space="preserve"> and VB</w:t>
      </w:r>
      <w:r w:rsidR="00A9030A" w:rsidRPr="002A6BA8">
        <w:rPr>
          <w:vertAlign w:val="subscript"/>
          <w:lang w:eastAsia="en-GB"/>
        </w:rPr>
        <w:t>2</w:t>
      </w:r>
      <w:r w:rsidR="00A9030A" w:rsidRPr="002A6BA8">
        <w:rPr>
          <w:lang w:eastAsia="en-GB"/>
        </w:rPr>
        <w:sym w:font="Wingdings" w:char="F0E0"/>
      </w:r>
      <w:r w:rsidR="00A9030A" w:rsidRPr="002A6BA8">
        <w:rPr>
          <w:lang w:eastAsia="en-GB"/>
        </w:rPr>
        <w:t>CB</w:t>
      </w:r>
      <w:r w:rsidR="00A9030A" w:rsidRPr="002A6BA8">
        <w:rPr>
          <w:vertAlign w:val="subscript"/>
          <w:lang w:eastAsia="en-GB"/>
        </w:rPr>
        <w:t>1</w:t>
      </w:r>
      <w:r w:rsidR="009A52C7" w:rsidRPr="002A6BA8">
        <w:rPr>
          <w:lang w:eastAsia="en-GB"/>
        </w:rPr>
        <w:t>.</w:t>
      </w:r>
      <w:r w:rsidR="008B459F" w:rsidRPr="002A6BA8">
        <w:rPr>
          <w:lang w:eastAsia="en-GB"/>
        </w:rPr>
        <w:fldChar w:fldCharType="begin"/>
      </w:r>
      <w:r w:rsidR="008B459F" w:rsidRPr="002A6BA8">
        <w:rPr>
          <w:lang w:eastAsia="en-GB"/>
        </w:rPr>
        <w:instrText xml:space="preserve"> ADDIN ZOTERO_ITEM CSL_CITATION {"citationID":"184p41pf5c","properties":{"formattedCitation":"{\\rtf \\super [36\\uc0\\u8211{}38]\\nosupersub{}}","plainCitation":"[36–38]"},"citationItems":[{"id":77,"uris":["http://zotero.org/users/local/6uiBC8Ma/items/P2S5CGBK"],"uri":["http://zotero.org/users/local/6uiBC8Ma/items/P2S5CGBK"],"itemData":{"id":77,"type":"article-journal","title":"Unravelling the mechanism of photoinduced charge transfer processes in lead iodide perovskite solar cells","container-title":"Nature Photonics","page":"250-255","volume":"8","issue":"3","source":"www.nature.com","abstract":"Lead halide perovskites have recently been used as light absorbers in hybrid organic–inorganic solid-state solar cells, with efficiencies as high as 15% and open-circuit voltages of 1 V. However, a detailed explanation of the mechanisms of operation within this photovoltaic system is still lacking. Here, we investigate the photoinduced charge transfer processes at the surface of the perovskite using time-resolved techniques. Transient laser spectroscopy and microwave photoconductivity measurements were applied to TiO2 and Al2O3 mesoporous films impregnated with CH3NH3PbI3 perovskite and the organic hole-transporting material spiro-OMeTAD. We show that primary charge separation occurs at both junctions, with TiO2 and the hole-transporting material, simultaneously, with ultrafast electron and hole injection taking place from the photoexcited perovskite over similar timescales. Charge recombination is shown to be significantly slower on TiO2 than on Al2O3 films.\nView full text","DOI":"10.1038/nphoton.2013.374","ISSN":"1749-4885","journalAbbreviation":"Nat Photon","language":"en","author":[{"family":"Marchioro","given":"Arianna"},{"family":"Teuscher","given":"Joël"},{"family":"Friedrich","given":"Dennis"},{"family":"Kunst","given":"Marinus"},{"family":"Krol","given":"Roel","non-dropping-particle":"van de"},{"family":"Moehl","given":"Thomas"},{"family":"Grätzel","given":"Michael"},{"family":"Moser","given":"Jacques-E."}],"issued":{"date-parts":[["2014",3]]}}},{"id":1055,"uris":["http://zotero.org/users/local/6uiBC8Ma/items/E3R2H2D4"],"uri":["http://zotero.org/users/local/6uiBC8Ma/items/E3R2H2D4"],"itemData":{"id":1055,"type":"article-journal","title":"Femtosecond Time-Resolved Transient Absorption Spectroscopy of CH3NH3PbI3 Perovskite Films: Evidence for Passivation Effect of PbI2","container-title":"Journal of the American Chemical Society","page":"12205-12208","volume":"136","issue":"35","source":"ACS Publications","abstract":"CH3NH3PbI3 perovskite layered films deposited on substrates with and without a titania support structure have been prepared and studied using time-resolved femtosecond transient absorption (fs-TA) spectroscopy in the visible light range (450–800 nm). The electron injection dynamics from the photoexcited perovskite layers to the neighboring film structures could be directly monitored via the transient bleaching dynamics of the perovskite at </w:instrText>
      </w:r>
      <w:r w:rsidR="008B459F" w:rsidRPr="002A6BA8">
        <w:rPr>
          <w:rFonts w:ascii="Cambria Math" w:hAnsi="Cambria Math" w:cs="Cambria Math"/>
          <w:lang w:eastAsia="en-GB"/>
        </w:rPr>
        <w:instrText>∼</w:instrText>
      </w:r>
      <w:r w:rsidR="008B459F" w:rsidRPr="002A6BA8">
        <w:rPr>
          <w:lang w:eastAsia="en-GB"/>
        </w:rPr>
        <w:instrText xml:space="preserve">750 nm and thus systematically studied as a function of the layer-by-layer architecture. In addition, for the first time we could spectrally distinguish transient bleaching at </w:instrText>
      </w:r>
      <w:r w:rsidR="008B459F" w:rsidRPr="002A6BA8">
        <w:rPr>
          <w:rFonts w:ascii="Cambria Math" w:hAnsi="Cambria Math" w:cs="Cambria Math"/>
          <w:lang w:eastAsia="en-GB"/>
        </w:rPr>
        <w:instrText>∼</w:instrText>
      </w:r>
      <w:r w:rsidR="008B459F" w:rsidRPr="002A6BA8">
        <w:rPr>
          <w:lang w:eastAsia="en-GB"/>
        </w:rPr>
        <w:instrText xml:space="preserve">750 nm from laser-induced fluorescence that occurs red-shifted at </w:instrText>
      </w:r>
      <w:r w:rsidR="008B459F" w:rsidRPr="002A6BA8">
        <w:rPr>
          <w:rFonts w:ascii="Cambria Math" w:hAnsi="Cambria Math" w:cs="Cambria Math"/>
          <w:lang w:eastAsia="en-GB"/>
        </w:rPr>
        <w:instrText>∼</w:instrText>
      </w:r>
      <w:r w:rsidR="008B459F" w:rsidRPr="002A6BA8">
        <w:rPr>
          <w:lang w:eastAsia="en-GB"/>
        </w:rPr>
        <w:instrText xml:space="preserve">780 nm. We show that an additional bleach feature at </w:instrText>
      </w:r>
      <w:r w:rsidR="008B459F" w:rsidRPr="002A6BA8">
        <w:rPr>
          <w:rFonts w:ascii="Cambria Math" w:hAnsi="Cambria Math" w:cs="Cambria Math"/>
          <w:lang w:eastAsia="en-GB"/>
        </w:rPr>
        <w:instrText>∼</w:instrText>
      </w:r>
      <w:r w:rsidR="008B459F" w:rsidRPr="002A6BA8">
        <w:rPr>
          <w:lang w:eastAsia="en-GB"/>
        </w:rPr>
        <w:instrText xml:space="preserve">510 nm appears when PbI2 is present in the perovskite film. The amplitudes of the PbI2 and perovskite TA peaks were compared to estimate relative amounts of PbI2 in the samples. Kinetic analysis reveals that perovskite films with less PbI2 show faster relaxation rates than those containing more PbI2. These fast dynamics are attributed to charge carrier trapping at perovskite grain boundaries, and the slower dynamics in samples containing PbI2 are due to a passivation effect, in line with other recently reported work.","DOI":"10.1021/ja504632z","ISSN":"0002-7863","shortTitle":"Femtosecond Time-Resolved Transient Absorption Spectroscopy of CH3NH3PbI3 Perovskite Films","journalAbbreviation":"J. Am. Chem. Soc.","author":[{"family":"Wang","given":"Lili"},{"family":"McCleese","given":"Christopher"},{"family":"Kovalsky","given":"Anton"},{"family":"Zhao","given":"Yixin"},{"family":"Burda","given":"Clemens"}],"issued":{"date-parts":[["2014",9,3]]}}},{"id":1051,"uris":["http://zotero.org/users/local/6uiBC8Ma/items/2GIHXHVB"],"uri":["http://zotero.org/users/local/6uiBC8Ma/items/2GIHXHVB"],"itemData":{"id":1051,"type":"article-journal","title":"Long-Range Balanced Electron- and Hole-Transport Lengths in Organic-Inorganic CH3NH3PbI3","container-title":"Science","page":"344-347","volume":"342","issue":"6156","source":"science.sciencemag.org","abstract":"Unrestricted Travel in Solar Cells\nIn the past 2 years, organolead halide perovskites have emerged as a promising class of light-harvesting media in experimental solar cells, but the physical basis for their efficiency has been unclear (see the Perspective by Hodes). Two studies now show, using a variety of time-resolved absorption and emission spectroscopic techniques, that these materials manifest relatively long diffusion paths for charge carriers energized by light absorption. Xing et al. (p. 344) independently assessed (negative) electron and (positive) hole diffusion lengths and found them well-matched to one another to the ~100-nanometer optical absorption depth. Stranks et al. (p. 341) uncovered a 10-fold greater diffusion length in a chloride-doped material, which correlates with the material's particularly efficient overall performance. Both studies highlight effective carrier diffusion as a fruitful parameter for further optimization.\nLow-temperature solution-processed photovoltaics suffer from low efficiencies because of poor exciton or electron-hole diffusion lengths (typically about 10 nanometers). Recent reports of highly efficient CH3NH3PbI3-based solar cells in a broad range of configurations raise a compelling case for understanding the fundamental photophysical mechanisms in these materials. By applying femtosecond transient optical spectroscopy to bilayers that interface this perovskite with either selective-electron or selective-hole extraction materials, we have uncovered concrete evidence of balanced long-range electron-hole diffusion lengths of at least 100 nanometers in solution-processed CH3NH3PbI3. The high photoconversion efficiencies of these systems stem from the comparable optical absorption length and charge-carrier diffusion lengths, transcending the traditional constraints of solution-processed semiconductors.\nSpectroscopy pinpoints facile carrier diffusion as a key factor in the efficiency of perovskite solar cells. [Also see Perspective by Hodes]\nSpectroscopy pinpoints facile carrier diffusion as a key factor in the efficiency of perovskite solar cells. [Also see Perspective by Hodes]","DOI":"10.1126/science.1243167","ISSN":"0036-8075, 1095-9203","note":"PMID: 24136965","language":"en","author":[{"family":"Xing","given":"Guichuan"},{"family":"Mathews","given":"Nripan"},{"family":"Sun","given":"Shuangyong"},{"family":"Lim","given":"Swee Sien"},{"family":"Lam","given":"Yeng Ming"},{"family":"Grätzel","given":"Michael"},{"family":"Mhaisalkar","given":"Subodh"},{"family":"Sum","given":"Tze Chien"}],"issued":{"date-parts":[["2013",10,18]]},"PMID":"24136965"}}],"schema":"https://github.com/citation-style-language/schema/raw/master/csl-citation.json"} </w:instrText>
      </w:r>
      <w:r w:rsidR="008B459F" w:rsidRPr="002A6BA8">
        <w:rPr>
          <w:lang w:eastAsia="en-GB"/>
        </w:rPr>
        <w:fldChar w:fldCharType="separate"/>
      </w:r>
      <w:r w:rsidR="008B459F" w:rsidRPr="002A6BA8">
        <w:rPr>
          <w:vertAlign w:val="superscript"/>
        </w:rPr>
        <w:t>[36–38]</w:t>
      </w:r>
      <w:r w:rsidR="008B459F" w:rsidRPr="002A6BA8">
        <w:rPr>
          <w:lang w:eastAsia="en-GB"/>
        </w:rPr>
        <w:fldChar w:fldCharType="end"/>
      </w:r>
      <w:r w:rsidR="00CE0F5F" w:rsidRPr="002A6BA8">
        <w:rPr>
          <w:lang w:eastAsia="en-GB"/>
        </w:rPr>
        <w:t xml:space="preserve"> </w:t>
      </w:r>
      <w:r w:rsidR="009A52C7" w:rsidRPr="002A6BA8">
        <w:rPr>
          <w:lang w:eastAsia="en-GB"/>
        </w:rPr>
        <w:t xml:space="preserve">On the other hand, </w:t>
      </w:r>
      <w:r w:rsidR="00CE0F5F" w:rsidRPr="002A6BA8">
        <w:rPr>
          <w:lang w:eastAsia="en-GB"/>
        </w:rPr>
        <w:t xml:space="preserve">the band at 410 nm </w:t>
      </w:r>
      <w:r w:rsidRPr="002A6BA8">
        <w:rPr>
          <w:lang w:eastAsia="en-GB"/>
        </w:rPr>
        <w:t xml:space="preserve">has been </w:t>
      </w:r>
      <w:r w:rsidR="00316005" w:rsidRPr="002A6BA8">
        <w:rPr>
          <w:lang w:eastAsia="en-GB"/>
        </w:rPr>
        <w:t xml:space="preserve">tentatively </w:t>
      </w:r>
      <w:r w:rsidRPr="002A6BA8">
        <w:rPr>
          <w:lang w:eastAsia="en-GB"/>
        </w:rPr>
        <w:t xml:space="preserve">assigned </w:t>
      </w:r>
      <w:r w:rsidR="00A9030A" w:rsidRPr="002A6BA8">
        <w:rPr>
          <w:lang w:eastAsia="en-GB"/>
        </w:rPr>
        <w:t xml:space="preserve">in Ref. 39 both </w:t>
      </w:r>
      <w:r w:rsidRPr="002A6BA8">
        <w:rPr>
          <w:lang w:eastAsia="en-GB"/>
        </w:rPr>
        <w:t xml:space="preserve">to </w:t>
      </w:r>
      <w:r w:rsidR="00A9030A" w:rsidRPr="002A6BA8">
        <w:rPr>
          <w:lang w:eastAsia="en-GB"/>
        </w:rPr>
        <w:t>a</w:t>
      </w:r>
      <w:r w:rsidRPr="002A6BA8">
        <w:rPr>
          <w:lang w:eastAsia="en-GB"/>
        </w:rPr>
        <w:t xml:space="preserve"> transition </w:t>
      </w:r>
      <w:r w:rsidR="00DA0CF3" w:rsidRPr="002A6BA8">
        <w:rPr>
          <w:lang w:eastAsia="en-GB"/>
        </w:rPr>
        <w:t xml:space="preserve">from </w:t>
      </w:r>
      <w:r w:rsidR="00A9030A" w:rsidRPr="002A6BA8">
        <w:rPr>
          <w:lang w:eastAsia="en-GB"/>
        </w:rPr>
        <w:t>valence band to a higher CB, such as VB</w:t>
      </w:r>
      <w:r w:rsidR="00A9030A" w:rsidRPr="002A6BA8">
        <w:rPr>
          <w:vertAlign w:val="subscript"/>
          <w:lang w:eastAsia="en-GB"/>
        </w:rPr>
        <w:t>2</w:t>
      </w:r>
      <w:r w:rsidR="00A9030A" w:rsidRPr="002A6BA8">
        <w:rPr>
          <w:lang w:eastAsia="en-GB"/>
        </w:rPr>
        <w:sym w:font="Wingdings" w:char="F0E0"/>
      </w:r>
      <w:r w:rsidR="00A9030A" w:rsidRPr="002A6BA8">
        <w:rPr>
          <w:lang w:eastAsia="en-GB"/>
        </w:rPr>
        <w:t>CB</w:t>
      </w:r>
      <w:r w:rsidR="00A9030A" w:rsidRPr="002A6BA8">
        <w:rPr>
          <w:vertAlign w:val="subscript"/>
          <w:lang w:eastAsia="en-GB"/>
        </w:rPr>
        <w:t>2</w:t>
      </w:r>
      <w:r w:rsidR="00A9030A" w:rsidRPr="002A6BA8">
        <w:rPr>
          <w:lang w:eastAsia="en-GB"/>
        </w:rPr>
        <w:t xml:space="preserve"> or to the transition from a lower </w:t>
      </w:r>
      <w:r w:rsidR="00DA0CF3" w:rsidRPr="002A6BA8">
        <w:rPr>
          <w:lang w:eastAsia="en-GB"/>
        </w:rPr>
        <w:t xml:space="preserve">VB </w:t>
      </w:r>
      <w:r w:rsidRPr="002A6BA8">
        <w:rPr>
          <w:lang w:eastAsia="en-GB"/>
        </w:rPr>
        <w:t xml:space="preserve">to </w:t>
      </w:r>
      <w:r w:rsidR="00A9030A" w:rsidRPr="002A6BA8">
        <w:rPr>
          <w:lang w:eastAsia="en-GB"/>
        </w:rPr>
        <w:t xml:space="preserve">the </w:t>
      </w:r>
      <w:r w:rsidRPr="002A6BA8">
        <w:rPr>
          <w:lang w:eastAsia="en-GB"/>
        </w:rPr>
        <w:t>CB</w:t>
      </w:r>
      <w:r w:rsidR="00A9030A" w:rsidRPr="002A6BA8">
        <w:rPr>
          <w:lang w:eastAsia="en-GB"/>
        </w:rPr>
        <w:t>, such as VB</w:t>
      </w:r>
      <w:r w:rsidR="00A9030A" w:rsidRPr="002A6BA8">
        <w:rPr>
          <w:vertAlign w:val="subscript"/>
          <w:lang w:eastAsia="en-GB"/>
        </w:rPr>
        <w:t>3</w:t>
      </w:r>
      <w:r w:rsidR="00A9030A" w:rsidRPr="002A6BA8">
        <w:rPr>
          <w:lang w:eastAsia="en-GB"/>
        </w:rPr>
        <w:sym w:font="Wingdings" w:char="F0E0"/>
      </w:r>
      <w:r w:rsidR="00A9030A" w:rsidRPr="002A6BA8">
        <w:rPr>
          <w:lang w:eastAsia="en-GB"/>
        </w:rPr>
        <w:t>CB</w:t>
      </w:r>
      <w:r w:rsidR="00A9030A" w:rsidRPr="002A6BA8">
        <w:rPr>
          <w:vertAlign w:val="subscript"/>
          <w:lang w:eastAsia="en-GB"/>
        </w:rPr>
        <w:t>1</w:t>
      </w:r>
      <w:r w:rsidR="00A9030A" w:rsidRPr="002A6BA8">
        <w:rPr>
          <w:lang w:eastAsia="en-GB"/>
        </w:rPr>
        <w:t>.</w:t>
      </w:r>
      <w:r w:rsidR="0073323D" w:rsidRPr="002A6BA8">
        <w:rPr>
          <w:lang w:eastAsia="en-GB"/>
        </w:rPr>
        <w:t xml:space="preserve"> </w:t>
      </w:r>
      <w:r w:rsidR="0073323D" w:rsidRPr="002A6BA8">
        <w:rPr>
          <w:lang w:eastAsia="en-GB"/>
        </w:rPr>
        <w:fldChar w:fldCharType="begin"/>
      </w:r>
      <w:r w:rsidR="0073323D" w:rsidRPr="002A6BA8">
        <w:rPr>
          <w:lang w:eastAsia="en-GB"/>
        </w:rPr>
        <w:instrText xml:space="preserve"> ADDIN ZOTERO_ITEM CSL_CITATION {"citationID":"1hh02m35r5","properties":{"formattedCitation":"{\\rtf \\super [39]\\nosupersub{}}","plainCitation":"[39]"},"citationItems":[{"id":789,"uris":["http://zotero.org/users/local/6uiBC8Ma/items/69RUQG6J"],"uri":["http://zotero.org/users/local/6uiBC8Ma/items/69RUQG6J"],"itemData":{"id":789,"type":"article-journal","title":"Broadband transient absorption study of photoexcitations in lead halide perovskites: Towards a multiband picture","container-title":"Physical Review B","page":"161205","volume":"93","issue":"16","source":"APS","abstract":"Ultrafast transient pump-probe measurements of thin CH3NH3PbI3 perovskite films over a wide spectral range from 350 to 800 nm reveal a family of photoinduced bleach (PB) and absorption (PA) features unequivocally pointing to the fundamentally multiband character of the underlying electronic structure. Excitation pump-energy dependent kinetics of three long-lived PB peaks at 1.65, 2.55, and 3.15 eV along with a broad PA band shows the involvement of band-edge thermalized carriers in all transitions and at least four, possibly more, electronic bands. The evolution of the transient signatures is described in terms of the redistribution of the conserved oscillator strength of the whole system. The multiband perspective opens up different directions for understanding and controlling photoexcitations in hybrid perovskites.","DOI":"10.1103/PhysRevB.93.161205","shortTitle":"Broadband transient absorption study of photoexcitations in lead halide perovskites","journalAbbreviation":"Phys. Rev. B","author":[{"family":"Anand","given":"Benoy"},{"family":"Sampat","given":"Siddharth"},{"family":"Danilov","given":"Evgeny O."},{"family":"Peng","given":"Weina"},{"family":"Rupich","given":"Sara M."},{"family":"Chabal","given":"Yves J."},{"family":"Gartstein","given":"Yuri N."},{"family":"Malko","given":"Anton V."}],"issued":{"date-parts":[["2016",4,22]]}}}],"schema":"https://github.com/citation-style-language/schema/raw/master/csl-citation.json"} </w:instrText>
      </w:r>
      <w:r w:rsidR="0073323D" w:rsidRPr="002A6BA8">
        <w:rPr>
          <w:lang w:eastAsia="en-GB"/>
        </w:rPr>
        <w:fldChar w:fldCharType="separate"/>
      </w:r>
      <w:r w:rsidR="0073323D" w:rsidRPr="002A6BA8">
        <w:rPr>
          <w:vertAlign w:val="superscript"/>
        </w:rPr>
        <w:t>[39]</w:t>
      </w:r>
      <w:r w:rsidR="0073323D" w:rsidRPr="002A6BA8">
        <w:rPr>
          <w:lang w:eastAsia="en-GB"/>
        </w:rPr>
        <w:fldChar w:fldCharType="end"/>
      </w:r>
      <w:r w:rsidR="00A9030A" w:rsidRPr="002A6BA8">
        <w:rPr>
          <w:lang w:eastAsia="en-GB"/>
        </w:rPr>
        <w:t xml:space="preserve"> In our case, since the three bands show the same decay, not only in the case of the pristine MAPbI</w:t>
      </w:r>
      <w:r w:rsidR="00A9030A" w:rsidRPr="002A6BA8">
        <w:rPr>
          <w:vertAlign w:val="subscript"/>
          <w:lang w:eastAsia="en-GB"/>
        </w:rPr>
        <w:t>3</w:t>
      </w:r>
      <w:r w:rsidR="00A9030A" w:rsidRPr="002A6BA8">
        <w:rPr>
          <w:lang w:eastAsia="en-GB"/>
        </w:rPr>
        <w:t>, but also, more importantly, in the case of the MAPbI</w:t>
      </w:r>
      <w:r w:rsidR="00A9030A" w:rsidRPr="002A6BA8">
        <w:rPr>
          <w:vertAlign w:val="subscript"/>
          <w:lang w:eastAsia="en-GB"/>
        </w:rPr>
        <w:t>3</w:t>
      </w:r>
      <w:r w:rsidR="00A9030A" w:rsidRPr="002A6BA8">
        <w:rPr>
          <w:lang w:eastAsia="en-GB"/>
        </w:rPr>
        <w:t>/C</w:t>
      </w:r>
      <w:r w:rsidR="0073323D" w:rsidRPr="002A6BA8">
        <w:rPr>
          <w:vertAlign w:val="subscript"/>
          <w:lang w:eastAsia="en-GB"/>
        </w:rPr>
        <w:t>7</w:t>
      </w:r>
      <w:r w:rsidR="00A9030A" w:rsidRPr="002A6BA8">
        <w:rPr>
          <w:vertAlign w:val="subscript"/>
          <w:lang w:eastAsia="en-GB"/>
        </w:rPr>
        <w:t>0</w:t>
      </w:r>
      <w:r w:rsidR="0073323D" w:rsidRPr="002A6BA8">
        <w:rPr>
          <w:lang w:eastAsia="en-GB"/>
        </w:rPr>
        <w:t xml:space="preserve"> where electron transfer happens from CB</w:t>
      </w:r>
      <w:r w:rsidR="0073323D" w:rsidRPr="002A6BA8">
        <w:rPr>
          <w:vertAlign w:val="subscript"/>
          <w:lang w:eastAsia="en-GB"/>
        </w:rPr>
        <w:t>1</w:t>
      </w:r>
      <w:r w:rsidR="0073323D" w:rsidRPr="002A6BA8">
        <w:rPr>
          <w:lang w:eastAsia="en-GB"/>
        </w:rPr>
        <w:t xml:space="preserve"> to the LUMO of the C</w:t>
      </w:r>
      <w:r w:rsidR="0073323D" w:rsidRPr="002A6BA8">
        <w:rPr>
          <w:vertAlign w:val="subscript"/>
          <w:lang w:eastAsia="en-GB"/>
        </w:rPr>
        <w:t>70</w:t>
      </w:r>
      <w:r w:rsidR="0073323D" w:rsidRPr="002A6BA8">
        <w:rPr>
          <w:lang w:eastAsia="en-GB"/>
        </w:rPr>
        <w:t>,</w:t>
      </w:r>
      <w:r w:rsidR="00A9030A" w:rsidRPr="002A6BA8">
        <w:rPr>
          <w:lang w:eastAsia="en-GB"/>
        </w:rPr>
        <w:t xml:space="preserve"> we can conclude that this band is assigned to PB arising from the VB</w:t>
      </w:r>
      <w:r w:rsidR="00A9030A" w:rsidRPr="002A6BA8">
        <w:rPr>
          <w:vertAlign w:val="subscript"/>
          <w:lang w:eastAsia="en-GB"/>
        </w:rPr>
        <w:t>3</w:t>
      </w:r>
      <w:r w:rsidR="00A9030A" w:rsidRPr="002A6BA8">
        <w:rPr>
          <w:lang w:eastAsia="en-GB"/>
        </w:rPr>
        <w:sym w:font="Wingdings" w:char="F0E0"/>
      </w:r>
      <w:r w:rsidR="00A9030A" w:rsidRPr="002A6BA8">
        <w:rPr>
          <w:lang w:eastAsia="en-GB"/>
        </w:rPr>
        <w:t>CB</w:t>
      </w:r>
      <w:r w:rsidR="00A9030A" w:rsidRPr="002A6BA8">
        <w:rPr>
          <w:vertAlign w:val="subscript"/>
          <w:lang w:eastAsia="en-GB"/>
        </w:rPr>
        <w:t>1</w:t>
      </w:r>
      <w:r w:rsidR="00A9030A" w:rsidRPr="002A6BA8">
        <w:rPr>
          <w:lang w:eastAsia="en-GB"/>
        </w:rPr>
        <w:t xml:space="preserve"> transition </w:t>
      </w:r>
      <w:r w:rsidRPr="002A6BA8">
        <w:rPr>
          <w:lang w:eastAsia="en-GB"/>
        </w:rPr>
        <w:t xml:space="preserve">as schematically depicted in Figure 2c. </w:t>
      </w:r>
      <w:r w:rsidR="007000BE" w:rsidRPr="002A6BA8">
        <w:rPr>
          <w:lang w:eastAsia="en-GB"/>
        </w:rPr>
        <w:t xml:space="preserve">It is fair </w:t>
      </w:r>
      <w:r w:rsidR="007000BE" w:rsidRPr="002A6BA8">
        <w:rPr>
          <w:lang w:eastAsia="en-GB"/>
        </w:rPr>
        <w:lastRenderedPageBreak/>
        <w:t>pointing out that, despite the semplicity of the cartoon showing the CB and VB as discrete levels, we are dealing</w:t>
      </w:r>
      <w:r w:rsidR="007000BE" w:rsidRPr="002A6BA8">
        <w:rPr>
          <w:lang w:val="en-US"/>
        </w:rPr>
        <w:t xml:space="preserve"> with a semiconductor, thus it is more appropriate to speak about VB and CB rather than ground and excited states. </w:t>
      </w:r>
      <w:r w:rsidRPr="002A6BA8">
        <w:rPr>
          <w:lang w:eastAsia="en-GB"/>
        </w:rPr>
        <w:t>The three PB bands</w:t>
      </w:r>
      <w:r w:rsidR="00A54C85" w:rsidRPr="002A6BA8">
        <w:rPr>
          <w:lang w:eastAsia="en-GB"/>
        </w:rPr>
        <w:t xml:space="preserve">, due to state filling of the CB and VB, </w:t>
      </w:r>
      <w:r w:rsidR="00316005" w:rsidRPr="002A6BA8">
        <w:rPr>
          <w:lang w:eastAsia="en-GB"/>
        </w:rPr>
        <w:t xml:space="preserve"> decay</w:t>
      </w:r>
      <w:r w:rsidRPr="002A6BA8">
        <w:rPr>
          <w:lang w:eastAsia="en-GB"/>
        </w:rPr>
        <w:t xml:space="preserve"> follow</w:t>
      </w:r>
      <w:r w:rsidR="00316005" w:rsidRPr="002A6BA8">
        <w:rPr>
          <w:lang w:eastAsia="en-GB"/>
        </w:rPr>
        <w:t>ing</w:t>
      </w:r>
      <w:r w:rsidRPr="002A6BA8">
        <w:rPr>
          <w:lang w:eastAsia="en-GB"/>
        </w:rPr>
        <w:t xml:space="preserve"> a similar trend (see dynamics in Figure 2b), mirroring in the hundreds of ps the charge recombination paths, including charge trapping mechanisms</w:t>
      </w:r>
      <w:r w:rsidR="00CE0F5F" w:rsidRPr="002A6BA8">
        <w:rPr>
          <w:lang w:eastAsia="en-GB"/>
        </w:rPr>
        <w:t xml:space="preserve"> </w:t>
      </w:r>
      <w:r w:rsidR="00CE0F5F" w:rsidRPr="002A6BA8">
        <w:rPr>
          <w:lang w:eastAsia="en-GB"/>
        </w:rPr>
        <w:fldChar w:fldCharType="begin"/>
      </w:r>
      <w:r w:rsidR="008B459F" w:rsidRPr="002A6BA8">
        <w:rPr>
          <w:lang w:eastAsia="en-GB"/>
        </w:rPr>
        <w:instrText xml:space="preserve"> ADDIN ZOTERO_ITEM CSL_CITATION {"citationID":"24mrqi241r","properties":{"formattedCitation":"{\\rtf \\super [18,27,28,40,41]\\nosupersub{}}","plainCitation":"[18,27,28,40,41]"},"citationItems":[{"id":700,"uris":["http://zotero.org/users/local/6uiBC8Ma/items/W2TD25GH"],"uri":["http://zotero.org/users/local/6uiBC8Ma/items/W2TD25GH"],"itemData":{"id":700,"type":"article-journal","title":"Femtosecond Charge-Injection Dynamics at Hybrid Perovskite Interfaces","container-title":"ChemPhysChem","page":"n/a-n/a","source":"Wiley Online Library","abstract":"With a power conversion efficiency (PCE) exceeding 22 %, perovskite solar cells (PSCs) have thrilled photovoltaic research. However, the interface behavior is still not understood and is a hot topic of research: different processes occur over a hierarchy of timescales, from femtoseconds to seconds, which makes perovskite interface physics intriguing. Herein, through femtosecond transient absorption spectroscopy with spectral coverage extending into the crucial IR region, the ultrafast interface-specific processes at standard and newly molecularly engineered perovskite interfaces in state-of-the-art PSCs are interrogated. Ultrafast interfacial charge injection occurs with a time constant of 100 fs, resulting in hot transfer from energetic charges and setting the timescale for the first step involved in the complex charge-transfer process. This is also true for 20 % efficient devices measured under real operation, for which the femtosecond injection is followed by a slower picosecond component. These findings provide compelling evidence for the femtosecond interfacial charge-injection step and demonstrate a robust method for the straightforward identification of interfacial non-equilibrium processes on the ultrafast timescale.","DOI":"10.1002/cphc.201700492","ISSN":"1439-7641","journalAbbreviation":"ChemPhysChem","language":"en","author":[{"family":"Grancini","given":"Giulia"},{"family":"Viola","given":"Daniele"},{"family":"Lee","given":"Yonghui"},{"family":"Saliba","given":"Michael"},{"family":"Paek","given":"Sanghyun"},{"family":"Cho","given":"Kyung Taek"},{"family":"Orlandi","given":"Simonetta"},{"family":"Cavazzini","given":"Marco"},{"family":"Fungo","given":"Fernando"},{"family":"Hossain","given":"Mohammad I."},{"family":"Belaidi","given":"Abdelhak"},{"family":"Tabet","given":"Nouar"},{"family":"Pozzi","given":"Gianluca"},{"family":"Cerullo","given":"Giulio"},{"family":"Nazeeruddin","given":"Mohammad Khaja"}]}},{"id":86,"uris":["http://zotero.org/users/local/6uiBC8Ma/items/JM3Z3F87"],"uri":["http://zotero.org/users/local/6uiBC8Ma/items/JM3Z3F87"],"itemData":{"id":86,"type":"article-journal","title":"Role of microstructure in the electron–hole interaction of hybrid lead halide perovskites","container-title":"Nature Photonics","page":"695-701","volume":"9","issue":"10","source":"www.nature.com","abstract":"Organic–inorganic metal halide perovskites have demonstrated high power conversion efficiencies in solar cells and promising performance in a wide range of optoelectronic devices. The existence and stability of bound electron–hole pairs in these materials and their role in the operation of devices with different architectures remains a controversial issue. Here we demonstrate, through a combination of optical spectroscopy and multiscale modelling as a function of the degree of polycrystallinity and temperature, that the electron–hole interaction is sensitive to the microstructure of the material. The long-range order is disrupted by polycrystalline disorder and the variations in electrostatic potential found for smaller crystals suppress exciton formation, while larger crystals of the same composition demonstrate an unambiguous excitonic state. We conclude that fabrication procedures and morphology strongly influence perovskite behaviour, with both free carrier and excitonic regimes possible, with strong implications for optoelectronic devices.\nView full text","DOI":"10.1038/nphoton.2015.151","ISSN":"1749-4885","journalAbbreviation":"Nat Photon","language":"en","author":[{"family":"Grancini","given":"Giulia"},{"family":"Srimath Kandada","given":"Ajay Ram"},{"family":"Frost","given":"Jarvist M."},{"family":"Barker","given":"Alex J."},{"family":"De Bastiani","given":"Michele"},{"family":"Gandini","given":"Marina"},{"family":"Marras","given":"Sergio"},{"family":"Lanzani","given":"Guglielmo"},{"family":"Walsh","given":"Aron"},{"family":"Petrozza","given":"Annamaria"}],"issued":{"date-parts":[["2015",10]]}}},{"id":95,"uris":["http://zotero.org/users/local/6uiBC8Ma/items/MGWFC6JD"],"uri":["http://zotero.org/users/local/6uiBC8Ma/items/MGWFC6JD"],"itemData":{"id":95,"type":"article-journal","title":"Trap States in Lead Iodide Perovskites","container-title":"Journal of the American Chemical Society","page":"2089-2096","volume":"137","issue":"5","source":"ACS Publications","abstract":"Recent discoveries of highly efficient solar cells based on lead iodide perovskites have led to a surge in research activity on understanding photo carrier generation in these materials, but little is known about trap states that may be detrimental to solar cell performance. Here we provide direct evidence for hole traps on the surfaces of three-dimensional (3D) CH3NH3PbI3 perovskite thin films and excitonic traps below the optical gaps in these materials. The excitonic traps possess weak optical transition strengths, can be populated from the relaxation of above gap excitations, and become more significant as dimensionality decreases from 3D CH3NH3PbI3 to two-dimensional (2D) (C4H9NH3I)2(CH3NH3I)n−1(PbI2)n (n = 1, 2, 3) perovskites and, within the 2D family, as n decreases from 3 to 1. We also show that the density of excitonic traps in CH3NH3PbI3 perovskite thin films grown in the presence of chloride is at least one-order of magnitude lower than that grown in the absence of chloride, thus explaining a widely known mystery on the much better solar cell performance of the former. The trap states are likely caused by electron–phonon coupling and are enhanced at surfaces/interfaces where the perovskite crystal structure is most susceptible to deformation.","DOI":"10.1021/ja512833n","ISSN":"0002-7863","journalAbbreviation":"J. Am. Chem. Soc.","author":[{"family":"Wu","given":"Xiaoxi"},{"family":"Trinh","given":"M. Tuan"},{"family":"Niesner","given":"Daniel"},{"family":"Zhu","given":"Haiming"},{"family":"Norman","given":"Zachariah"},{"family":"Owen","given":"Jonathan S."},{"family":"Yaffe","given":"Omer"},{"family":"Kudisch","given":"Bryan J."},{"family":"Zhu","given":"X.-Y."}],"issued":{"date-parts":[["2015",2,11]]}}},{"id":426,"uris":["http://zotero.org/users/local/6uiBC8Ma/items/C7SRRD79"],"uri":["http://zotero.org/users/local/6uiBC8Ma/items/C7SRRD79"],"itemData":{"id":426,"type":"article-journal","title":"Mechanism of Charge Transfer and Recombination Dynamics in Organo Metal Halide Perovskites and Organic Electrodes, PCBM, and Spiro-OMeTAD: Role of Dark Carriers","container-title":"Journal of the American Chemical Society","page":"16043-16048","volume":"137","issue":"51","source":"ACS Publications","abstract":"Despite the unprecedented interest in organic–inorganic metal halide perovskite solar cells, quantitative information on the charge transfer dynamics into selective electrodes is still lacking. In this paper, we report the time scales and mechanisms of electron and hole injection and recombination dynamics at organic PCBM and Spiro-OMeTAD electrode interfaces. On the one hand, hole transfer is complete on the subpicosecond time scale in MAPbI3/Spiro-OMeTAD, and its recombination rate is similar to that in neat MAPbI3. This was found to be due to a high concentration of dark charges, i.e., holes brought about by unintentional p-type doping of MAPbI3. Hence, the total concentration of holes in the perovskite is hardly affected by optical excitation, which manifested as similar decay kinetics. On the other hand, the decay of the photoinduced conductivity in MAPbI3/PCBM is on the time scale of hundreds of picoseconds to several nanoseconds, due to electron injection into PCBM and electron–hole recombination at the interface occurring at similar rates. These results highlight the importance of understanding the role of dark carriers in deconvoluting the complex photophysical processes in these materials. Moreover, optimizing the preparation processes wherein undesired doping is minimized could prompt the use of organic molecules as a more viable electrode substitute for perovskite solar cell devices.","DOI":"10.1021/jacs.5b08770","ISSN":"0002-7863","shortTitle":"Mechanism of Charge Transfer and Recombination Dynamics in Organo Metal Halide Perovskites and Organic Electrodes, PCBM, and Spiro-OMeTAD","journalAbbreviation":"J. Am. Chem. Soc.","author":[{"family":"Ponseca","given":"Carlito S."},{"family":"Hutter","given":"Eline M."},{"family":"Piatkowski","given":"Piotr"},{"family":"Cohen","given":"Boiko"},{"family":"Pascher","given":"Torbjörn"},{"family":"Douhal","given":"Abderrazzak"},{"family":"Yartsev","given":"Arkady"},{"family":"Sundström","given":"Villy"},{"family":"Savenije","given":"Tom J."}],"issued":{"date-parts":[["2015",12,30]]}}},{"id":109,"uris":["http://zotero.org/users/local/6uiBC8Ma/items/XDD75ZJ8"],"uri":["http://zotero.org/users/local/6uiBC8Ma/items/XDD75ZJ8"],"itemData":{"id":109,"type":"article-journal","title":"Organometal Halide Perovskite Solar Cell Materials Rationalized: Ultrafast Charge Generation, High and Microsecond-Long Balanced Mobilities, and Slow Recombination","container-title":"Journal of the American Chemical Society","page":"5189-5192","volume":"136","issue":"14","source":"ACS Publications","abstract":"Organometal halide perovskite-based solar cells have recently been reported to be highly efficient, giving an overall power conversion efficiency of up to 15%. However, much of the fundamental photophysical properties underlying this performance has remained unknown. Here, we apply photoluminescence, transient absorption, time-resolved terahertz and microwave conductivity measurements to determine the time scales of generation and recombination of charge carriers as well as their transport properties in solution-processed CH3NH3PbI3 perovskite materials. We found that electron–hole pairs are generated almost instantaneously after photoexcitation and dissociate in 2 ps forming highly mobile charges (25 cm2 V–1 s–1) in the neat perovskite and in perovskite/alumina blends; almost balanced electron and hole mobilities remain very high up to the microsecond time scale. When the perovskite is introduced into a TiO2 mesoporous structure, electron injection from perovskite to the metal oxide is efficient in less than a picosecond, but the lower intrinsic electron mobility of TiO2 leads to unbalanced charge transport. Microwave conductivity measurements showed that the decay of mobile charges is very slow in CH3NH3PbI3, lasting up to tens of microseconds. These results unravel the remarkable intrinsic properties of CH3NH3PbI3 perovskite material if used as light absorber and charge transport layer. Moreover, finding a metal oxide with higher electron mobility may further increase the performance of this class of solar cells.","DOI":"10.1021/ja412583t","ISSN":"0002-7863","shortTitle":"Organometal Halide Perovskite Solar Cell Materials Rationalized","journalAbbreviation":"J. Am. Chem. Soc.","author":[{"family":"Ponseca","given":"Carlito S."},{"family":"Savenije","given":"Tom J."},{"family":"Abdellah","given":"Mohamed"},{"family":"Zheng","given":"Kaibo"},{"family":"Yartsev","given":"Arkady"},{"family":"Pascher","given":"Tobjörn"},{"family":"Harlang","given":"Tobias"},{"family":"Chabera","given":"Pavel"},{"family":"Pullerits","given":"Tonu"},{"family":"Stepanov","given":"Andrey"},{"family":"Wolf","given":"Jean-Pierre"},{"family":"Sundström","given":"Villy"}],"issued":{"date-parts":[["2014",4,9]]}}}],"schema":"https://github.com/citation-style-language/schema/raw/master/csl-citation.json"} </w:instrText>
      </w:r>
      <w:r w:rsidR="00CE0F5F" w:rsidRPr="002A6BA8">
        <w:rPr>
          <w:lang w:eastAsia="en-GB"/>
        </w:rPr>
        <w:fldChar w:fldCharType="separate"/>
      </w:r>
      <w:r w:rsidR="008B459F" w:rsidRPr="002A6BA8">
        <w:rPr>
          <w:vertAlign w:val="superscript"/>
        </w:rPr>
        <w:t>[18,27,28,40,41]</w:t>
      </w:r>
      <w:r w:rsidR="00CE0F5F" w:rsidRPr="002A6BA8">
        <w:rPr>
          <w:lang w:eastAsia="en-GB"/>
        </w:rPr>
        <w:fldChar w:fldCharType="end"/>
      </w:r>
      <w:r w:rsidRPr="002A6BA8">
        <w:rPr>
          <w:lang w:eastAsia="en-GB"/>
        </w:rPr>
        <w:t>. Note that the high energy PB form</w:t>
      </w:r>
      <w:r w:rsidR="00316005" w:rsidRPr="002A6BA8">
        <w:rPr>
          <w:lang w:eastAsia="en-GB"/>
        </w:rPr>
        <w:t>s</w:t>
      </w:r>
      <w:r w:rsidRPr="002A6BA8">
        <w:rPr>
          <w:lang w:eastAsia="en-GB"/>
        </w:rPr>
        <w:t xml:space="preserve"> </w:t>
      </w:r>
      <w:r w:rsidR="008B459F" w:rsidRPr="002A6BA8">
        <w:rPr>
          <w:lang w:eastAsia="en-GB"/>
        </w:rPr>
        <w:t>instantaneously</w:t>
      </w:r>
      <w:r w:rsidRPr="002A6BA8">
        <w:rPr>
          <w:lang w:eastAsia="en-GB"/>
        </w:rPr>
        <w:t xml:space="preserve"> </w:t>
      </w:r>
      <w:r w:rsidR="00DA0CF3" w:rsidRPr="002A6BA8">
        <w:rPr>
          <w:lang w:eastAsia="en-GB"/>
        </w:rPr>
        <w:t>after</w:t>
      </w:r>
      <w:r w:rsidRPr="002A6BA8">
        <w:rPr>
          <w:lang w:eastAsia="en-GB"/>
        </w:rPr>
        <w:t xml:space="preserve"> photoexcitation (within </w:t>
      </w:r>
      <w:r w:rsidR="00316005" w:rsidRPr="002A6BA8">
        <w:rPr>
          <w:lang w:eastAsia="en-GB"/>
        </w:rPr>
        <w:t xml:space="preserve">the </w:t>
      </w:r>
      <w:r w:rsidR="00DA0CF3" w:rsidRPr="002A6BA8">
        <w:rPr>
          <w:lang w:eastAsia="en-GB"/>
        </w:rPr>
        <w:t>15</w:t>
      </w:r>
      <w:r w:rsidRPr="002A6BA8">
        <w:rPr>
          <w:lang w:eastAsia="en-GB"/>
        </w:rPr>
        <w:t>0</w:t>
      </w:r>
      <w:r w:rsidR="00316005" w:rsidRPr="002A6BA8">
        <w:rPr>
          <w:lang w:eastAsia="en-GB"/>
        </w:rPr>
        <w:t>-</w:t>
      </w:r>
      <w:r w:rsidRPr="002A6BA8">
        <w:rPr>
          <w:lang w:eastAsia="en-GB"/>
        </w:rPr>
        <w:t xml:space="preserve">fs </w:t>
      </w:r>
      <w:r w:rsidR="00316005" w:rsidRPr="002A6BA8">
        <w:rPr>
          <w:lang w:eastAsia="en-GB"/>
        </w:rPr>
        <w:t>instrumental</w:t>
      </w:r>
      <w:r w:rsidRPr="002A6BA8">
        <w:rPr>
          <w:lang w:eastAsia="en-GB"/>
        </w:rPr>
        <w:t xml:space="preserve"> resolution) while the PB band at the band edge shows a</w:t>
      </w:r>
      <w:r w:rsidR="00B13699" w:rsidRPr="002A6BA8">
        <w:rPr>
          <w:lang w:eastAsia="en-GB"/>
        </w:rPr>
        <w:t>n additional</w:t>
      </w:r>
      <w:r w:rsidRPr="002A6BA8">
        <w:rPr>
          <w:lang w:eastAsia="en-GB"/>
        </w:rPr>
        <w:t xml:space="preserve"> rise completed in the first ps,</w:t>
      </w:r>
      <w:r w:rsidR="00DA0CF3" w:rsidRPr="002A6BA8">
        <w:rPr>
          <w:lang w:eastAsia="en-GB"/>
        </w:rPr>
        <w:t xml:space="preserve"> following</w:t>
      </w:r>
      <w:r w:rsidR="000A2BB2" w:rsidRPr="002A6BA8">
        <w:rPr>
          <w:lang w:eastAsia="en-GB"/>
        </w:rPr>
        <w:t xml:space="preserve"> </w:t>
      </w:r>
      <w:r w:rsidRPr="002A6BA8">
        <w:rPr>
          <w:lang w:eastAsia="en-GB"/>
        </w:rPr>
        <w:t xml:space="preserve">charge thermalization </w:t>
      </w:r>
      <w:r w:rsidR="00CE0F5F" w:rsidRPr="002A6BA8">
        <w:rPr>
          <w:lang w:eastAsia="en-GB"/>
        </w:rPr>
        <w:fldChar w:fldCharType="begin"/>
      </w:r>
      <w:r w:rsidR="008B459F" w:rsidRPr="002A6BA8">
        <w:rPr>
          <w:lang w:eastAsia="en-GB"/>
        </w:rPr>
        <w:instrText xml:space="preserve"> ADDIN ZOTERO_ITEM CSL_CITATION {"citationID":"m4ad2jbb2","properties":{"formattedCitation":"{\\rtf \\super [42,43]\\nosupersub{}}","plainCitation":"[42,43]"},"citationItems":[{"id":420,"uris":["http://zotero.org/users/local/6uiBC8Ma/items/9FMZEZ9G"],"uri":["http://zotero.org/users/local/6uiBC8Ma/items/9FMZEZ9G"],"itemData":{"id":420,"type":"article-journal","title":"Direct monitoring of ultrafast electron and hole dynamics in perovskite solar cells","page":"14674-14684","volume":"17","issue":"22","source":"pubs.rsc.org","abstract":"Organic–inorganic hybrid perovskite solar cells have emerged as cost effective efficient light-to-electricity conversion devices. Unravelling the time scale and the mechanisms that govern the charge carrier dynamics is of paramount importance for a clear understanding and further optimization of the perovskite based devices. For the classical FTO/bulk titania blocking layer/mesoporous titania/perovskite/Spiro-OMeTAD (FTO/TPS) cell, further detailed and systematic studies of the ultrafast events related to exciton generation, electron and hole transfer, ultrafast relaxation are still needed. We characterize the initial ultrafast processes attributed to the exciton–perovskite lattice interactions influenced by charge transfer to the electron and hole transporters that precede the exciton diffusion into free charge carriers occurring in the sensitizer. Time-resolved transient absorption studies of the FTO/perovskite and FTO/TPS samples under excitation at different wavelengths and at low fluence 2 (μJ cm−2) indicate the sub-picosecond electron and hole injection into titania and Spiro-OMeTAD, respectively. Furthermore, the power-dependent femtosecond transient absorption measurements support the ultrafast charge transfer and show strong Auger-type multiparticle interactions at early times. We reveal that the decays of the internal trap states are the same for both films, while those at surfaces differ. The contribution of the former in the recombination is small, thus increasing the survival probability of the charges in the excited perovskite.","DOI":"10.1039/C5CP01119A","ISSN":"1463-9084","journalAbbreviation":"Phys. Chem. Chem. Phys.","language":"en","author":[{"family":"Piatkowski","given":"Piotr"},{"family":"Cohen","given":"Boiko"},{"family":"Ramos","given":"Francisco Javier"},{"family":"Nunzio","given":"Maria Di"},{"family":"Nazeeruddin","given":"Mohammad Khaja"},{"family":"Grätzel","given":"Michael"},{"family":"Ahmad","given":"Shahzada"},{"family":"Douhal","given":"Abderrazzak"}],"issued":{"date-parts":[["2015",5,27]]}}},{"id":792,"uris":["http://zotero.org/users/local/6uiBC8Ma/items/CGCJ5P6N"],"uri":["http://zotero.org/users/local/6uiBC8Ma/items/CGCJ5P6N"],"itemData":{"id":792,"type":"article-journal","title":"Ultrafast carrier thermalization in lead iodide perovskite probed with two-dimensional electronic spectroscopy","container-title":"Nature Communications","page":"376","volume":"8","issue":"1","source":"www.nature.com","abstract":"In band-like semiconductors, charge carriers form a thermal energy distribution rapidly after optical excitation. In hybrid perovskites, the cooling of such thermal carrier distributions occurs on timescales of about 300 fs via carrier-phonon scattering. However, the initial build-up of the thermal distribution proved difficult to resolve with pump–probe techniques due to the requirement of high resolution, both in time and pump energy. Here, we use two-dimensional electronic spectroscopy with sub-10 fs resolution to directly observe the carrier interactions that lead to a thermal carrier distribution. We find that thermalization occurs dominantly via carrier-carrier scattering under the investigated fluences and report the dependence of carrier scattering rates on excess energy and carrier density. We extract characteristic carrier thermalization times from below 10 to 85 fs. These values allow for mobilities of 500 cm2 V−1 s−1 at carrier densities lower than 2 × 1019 cm−3 and limit the time for carrier extraction in hot carrier solar cells. Carrier-carrier scattering rates determine the fundamental limits of carrier transport and electronic coherence. Using two-dimensional electronic spectroscopy with sub-10 fs resolution, Richter and Branchi et al. extract carrier thermalization times of 10 to 85 fs in hybrid perovskites.","DOI":"10.1038/s41467-017-00546-z","ISSN":"2041-1723","language":"En","author":[{"family":"Richter","given":"Johannes M."},{"family":"Branchi","given":"Federico"},{"family":"Camargo","given":"Franco Valduga de Almeida"},{"family":"Zhao","given":"Baodan"},{"family":"Friend","given":"Richard H."},{"family":"Cerullo","given":"Giulio"},{"family":"Deschler","given":"Felix"}],"issued":{"date-parts":[["2017",8,29]]}}}],"schema":"https://github.com/citation-style-language/schema/raw/master/csl-citation.json"} </w:instrText>
      </w:r>
      <w:r w:rsidR="00CE0F5F" w:rsidRPr="002A6BA8">
        <w:rPr>
          <w:lang w:eastAsia="en-GB"/>
        </w:rPr>
        <w:fldChar w:fldCharType="separate"/>
      </w:r>
      <w:r w:rsidR="008B459F" w:rsidRPr="002A6BA8">
        <w:rPr>
          <w:vertAlign w:val="superscript"/>
        </w:rPr>
        <w:t>[42,43]</w:t>
      </w:r>
      <w:r w:rsidR="00CE0F5F" w:rsidRPr="002A6BA8">
        <w:rPr>
          <w:lang w:eastAsia="en-GB"/>
        </w:rPr>
        <w:fldChar w:fldCharType="end"/>
      </w:r>
      <w:r w:rsidRPr="002A6BA8">
        <w:rPr>
          <w:lang w:eastAsia="en-GB"/>
        </w:rPr>
        <w:t xml:space="preserve"> </w:t>
      </w:r>
      <w:r w:rsidR="00D20655" w:rsidRPr="002A6BA8">
        <w:rPr>
          <w:lang w:eastAsia="en-GB"/>
        </w:rPr>
        <w:t>(</w:t>
      </w:r>
      <w:r w:rsidRPr="002A6BA8">
        <w:rPr>
          <w:lang w:eastAsia="en-GB"/>
        </w:rPr>
        <w:t>see Figure S</w:t>
      </w:r>
      <w:r w:rsidR="00AB5151" w:rsidRPr="002A6BA8">
        <w:rPr>
          <w:lang w:eastAsia="en-GB"/>
        </w:rPr>
        <w:t>6</w:t>
      </w:r>
      <w:r w:rsidR="00D20655" w:rsidRPr="002A6BA8">
        <w:rPr>
          <w:lang w:eastAsia="en-GB"/>
        </w:rPr>
        <w:t>)</w:t>
      </w:r>
      <w:r w:rsidRPr="002A6BA8">
        <w:rPr>
          <w:lang w:eastAsia="en-GB"/>
        </w:rPr>
        <w:t>. Upon blending with C</w:t>
      </w:r>
      <w:r w:rsidRPr="002A6BA8">
        <w:rPr>
          <w:vertAlign w:val="subscript"/>
          <w:lang w:eastAsia="en-GB"/>
        </w:rPr>
        <w:t>70</w:t>
      </w:r>
      <w:r w:rsidRPr="002A6BA8">
        <w:rPr>
          <w:lang w:eastAsia="en-GB"/>
        </w:rPr>
        <w:t xml:space="preserve">, the position of the three PB bands </w:t>
      </w:r>
      <w:r w:rsidR="00DF4BFD" w:rsidRPr="002A6BA8">
        <w:rPr>
          <w:lang w:eastAsia="en-GB"/>
        </w:rPr>
        <w:t>remains</w:t>
      </w:r>
      <w:r w:rsidRPr="002A6BA8">
        <w:rPr>
          <w:lang w:eastAsia="en-GB"/>
        </w:rPr>
        <w:t xml:space="preserve"> unaltered</w:t>
      </w:r>
      <w:r w:rsidR="00DA0CF3" w:rsidRPr="002A6BA8">
        <w:rPr>
          <w:lang w:eastAsia="en-GB"/>
        </w:rPr>
        <w:t xml:space="preserve">, but the PB </w:t>
      </w:r>
      <w:r w:rsidRPr="002A6BA8">
        <w:rPr>
          <w:lang w:eastAsia="en-GB"/>
        </w:rPr>
        <w:t>dynamics with C</w:t>
      </w:r>
      <w:r w:rsidRPr="002A6BA8">
        <w:rPr>
          <w:vertAlign w:val="subscript"/>
          <w:lang w:eastAsia="en-GB"/>
        </w:rPr>
        <w:t>70</w:t>
      </w:r>
      <w:r w:rsidRPr="002A6BA8">
        <w:rPr>
          <w:lang w:eastAsia="en-GB"/>
        </w:rPr>
        <w:t xml:space="preserve"> </w:t>
      </w:r>
      <w:r w:rsidR="00DA0CF3" w:rsidRPr="002A6BA8">
        <w:rPr>
          <w:lang w:eastAsia="en-GB"/>
        </w:rPr>
        <w:t xml:space="preserve">all </w:t>
      </w:r>
      <w:r w:rsidRPr="002A6BA8">
        <w:rPr>
          <w:lang w:eastAsia="en-GB"/>
        </w:rPr>
        <w:t>show a faster decay</w:t>
      </w:r>
      <w:r w:rsidR="00DA0CF3" w:rsidRPr="002A6BA8">
        <w:rPr>
          <w:lang w:eastAsia="en-GB"/>
        </w:rPr>
        <w:t>,</w:t>
      </w:r>
      <w:r w:rsidRPr="002A6BA8">
        <w:rPr>
          <w:lang w:eastAsia="en-GB"/>
        </w:rPr>
        <w:t xml:space="preserve"> characterized by a time constant </w:t>
      </w:r>
      <w:r w:rsidRPr="002A6BA8">
        <w:rPr>
          <w:rFonts w:ascii="Symbol" w:hAnsi="Symbol"/>
          <w:lang w:eastAsia="en-GB"/>
        </w:rPr>
        <w:t></w:t>
      </w:r>
      <w:r w:rsidRPr="002A6BA8">
        <w:rPr>
          <w:lang w:eastAsia="en-GB"/>
        </w:rPr>
        <w:t>=20 ps. Considering the energy level alignment of the MAPbI</w:t>
      </w:r>
      <w:r w:rsidRPr="002A6BA8">
        <w:rPr>
          <w:vertAlign w:val="subscript"/>
          <w:lang w:eastAsia="en-GB"/>
        </w:rPr>
        <w:t>3</w:t>
      </w:r>
      <w:r w:rsidRPr="002A6BA8">
        <w:rPr>
          <w:lang w:eastAsia="en-GB"/>
        </w:rPr>
        <w:t>/C</w:t>
      </w:r>
      <w:r w:rsidRPr="002A6BA8">
        <w:rPr>
          <w:vertAlign w:val="subscript"/>
          <w:lang w:eastAsia="en-GB"/>
        </w:rPr>
        <w:t>70</w:t>
      </w:r>
      <w:r w:rsidRPr="002A6BA8">
        <w:rPr>
          <w:lang w:eastAsia="en-GB"/>
        </w:rPr>
        <w:t xml:space="preserve"> interface</w:t>
      </w:r>
      <w:r w:rsidR="00D3191C" w:rsidRPr="002A6BA8">
        <w:rPr>
          <w:lang w:eastAsia="en-GB"/>
        </w:rPr>
        <w:t>,</w:t>
      </w:r>
      <w:r w:rsidRPr="002A6BA8">
        <w:rPr>
          <w:lang w:eastAsia="en-GB"/>
        </w:rPr>
        <w:t xml:space="preserve"> </w:t>
      </w:r>
      <w:r w:rsidR="00DA0CF3" w:rsidRPr="002A6BA8">
        <w:rPr>
          <w:lang w:eastAsia="en-GB"/>
        </w:rPr>
        <w:t xml:space="preserve">this quenching is </w:t>
      </w:r>
      <w:r w:rsidR="008D28E8" w:rsidRPr="002A6BA8">
        <w:rPr>
          <w:lang w:eastAsia="en-GB"/>
        </w:rPr>
        <w:t>assigned</w:t>
      </w:r>
      <w:r w:rsidR="00DA0CF3" w:rsidRPr="002A6BA8">
        <w:rPr>
          <w:lang w:eastAsia="en-GB"/>
        </w:rPr>
        <w:t xml:space="preserve"> to </w:t>
      </w:r>
      <w:r w:rsidRPr="002A6BA8">
        <w:rPr>
          <w:lang w:eastAsia="en-GB"/>
        </w:rPr>
        <w:t>electron transfer to</w:t>
      </w:r>
      <w:r w:rsidR="00D3191C" w:rsidRPr="002A6BA8">
        <w:rPr>
          <w:lang w:eastAsia="en-GB"/>
        </w:rPr>
        <w:t xml:space="preserve"> the</w:t>
      </w:r>
      <w:r w:rsidRPr="002A6BA8">
        <w:rPr>
          <w:lang w:eastAsia="en-GB"/>
        </w:rPr>
        <w:t xml:space="preserve"> C</w:t>
      </w:r>
      <w:r w:rsidRPr="002A6BA8">
        <w:rPr>
          <w:vertAlign w:val="subscript"/>
          <w:lang w:eastAsia="en-GB"/>
        </w:rPr>
        <w:t>70</w:t>
      </w:r>
      <w:r w:rsidRPr="002A6BA8">
        <w:rPr>
          <w:lang w:eastAsia="en-GB"/>
        </w:rPr>
        <w:t xml:space="preserve"> molecule</w:t>
      </w:r>
      <w:r w:rsidR="00D3191C" w:rsidRPr="002A6BA8">
        <w:rPr>
          <w:lang w:eastAsia="en-GB"/>
        </w:rPr>
        <w:t>s</w:t>
      </w:r>
      <w:r w:rsidR="00DA0CF3" w:rsidRPr="002A6BA8">
        <w:rPr>
          <w:lang w:eastAsia="en-GB"/>
        </w:rPr>
        <w:t>. This is in agreement with recent works showing a favorable energetic alignement at the MAPbI</w:t>
      </w:r>
      <w:r w:rsidR="00DA0CF3" w:rsidRPr="002A6BA8">
        <w:rPr>
          <w:vertAlign w:val="subscript"/>
          <w:lang w:eastAsia="en-GB"/>
        </w:rPr>
        <w:t>3</w:t>
      </w:r>
      <w:r w:rsidR="00DA0CF3" w:rsidRPr="002A6BA8">
        <w:rPr>
          <w:lang w:eastAsia="en-GB"/>
        </w:rPr>
        <w:t xml:space="preserve">/fullerene for electron transfer </w:t>
      </w:r>
      <w:r w:rsidR="00CE0F5F" w:rsidRPr="002A6BA8">
        <w:rPr>
          <w:lang w:eastAsia="en-GB"/>
        </w:rPr>
        <w:fldChar w:fldCharType="begin"/>
      </w:r>
      <w:r w:rsidR="008B459F" w:rsidRPr="002A6BA8">
        <w:rPr>
          <w:lang w:eastAsia="en-GB"/>
        </w:rPr>
        <w:instrText xml:space="preserve"> ADDIN ZOTERO_ITEM CSL_CITATION {"citationID":"2cj9k1ch4l","properties":{"formattedCitation":"{\\rtf \\super [44]\\nosupersub{}}","plainCitation":"[44]"},"citationItems":[{"id":795,"uris":["http://zotero.org/users/local/6uiBC8Ma/items/BM87KSR2"],"uri":["http://zotero.org/users/local/6uiBC8Ma/items/BM87KSR2"],"itemData":{"id":795,"type":"article-journal","title":"Electronic structure evolution of fullerene on CH3NH3PbI3","container-title":"Applied Physics Letters","page":"111603","volume":"106","issue":"11","source":"aip.scitation.org (Atypon)","abstract":"The thickness dependence of fullerene on CH3NH3PbI3 perovskite film surface has           been investigated by using ultraviolet photoemission spectroscopy (UPS), X-ray photoemission             spectroscopy (XPS), and inverse           photoemission spectroscopy (IPES). The lowest unoccupied molecular orbital and highest           occupied molecular orbital (HOMO) can be observed directly with IPES and UPS. It is           observed that the HOMO level in fullerene shifts to lower binding energy. The XPS results show a strong           initial shift of core levels to lower binding energy in the perovskite, which indicates that electrons transfer from the             perovskite film to             fullerene           molecules. Further deposition of fullerene forms C60 solid, accompanied by the reduction of           the electron             transfer. The strongest electron transfer happened at 1/4 monolayer of             fullerene.","DOI":"10.1063/1.4916079","ISSN":"0003-6951","journalAbbreviation":"Appl. Phys. Lett.","author":[{"family":"Wang","given":"Chenggong"},{"family":"Wang","given":"Congcong"},{"family":"Liu","given":"Xiaoliang"},{"family":"Kauppi","given":"John"},{"family":"Shao","given":"Yuchuan"},{"family":"Xiao","given":"Zhengguo"},{"family":"Bi","given":"Cheng"},{"family":"Huang","given":"Jinsong"},{"family":"Gao","given":"Yongli"}],"issued":{"date-parts":[["2015",3,16]]}}}],"schema":"https://github.com/citation-style-language/schema/raw/master/csl-citation.json"} </w:instrText>
      </w:r>
      <w:r w:rsidR="00CE0F5F" w:rsidRPr="002A6BA8">
        <w:rPr>
          <w:lang w:eastAsia="en-GB"/>
        </w:rPr>
        <w:fldChar w:fldCharType="separate"/>
      </w:r>
      <w:r w:rsidR="008B459F" w:rsidRPr="002A6BA8">
        <w:rPr>
          <w:vertAlign w:val="superscript"/>
        </w:rPr>
        <w:t>[44</w:t>
      </w:r>
      <w:r w:rsidR="000273A2" w:rsidRPr="002A6BA8">
        <w:rPr>
          <w:vertAlign w:val="superscript"/>
        </w:rPr>
        <w:t>, 45</w:t>
      </w:r>
      <w:r w:rsidR="008B459F" w:rsidRPr="002A6BA8">
        <w:rPr>
          <w:vertAlign w:val="superscript"/>
        </w:rPr>
        <w:t>]</w:t>
      </w:r>
      <w:r w:rsidR="00CE0F5F" w:rsidRPr="002A6BA8">
        <w:rPr>
          <w:lang w:eastAsia="en-GB"/>
        </w:rPr>
        <w:fldChar w:fldCharType="end"/>
      </w:r>
      <w:r w:rsidRPr="002A6BA8">
        <w:rPr>
          <w:lang w:eastAsia="en-GB"/>
        </w:rPr>
        <w:t xml:space="preserve">. </w:t>
      </w:r>
      <w:r w:rsidR="00DA0CF3" w:rsidRPr="002A6BA8">
        <w:rPr>
          <w:lang w:eastAsia="en-GB"/>
        </w:rPr>
        <w:t>Interestingly, it has been found that</w:t>
      </w:r>
      <w:r w:rsidRPr="002A6BA8">
        <w:rPr>
          <w:lang w:eastAsia="en-GB"/>
        </w:rPr>
        <w:t xml:space="preserve"> efficient electron transfer </w:t>
      </w:r>
      <w:r w:rsidR="00CE076A" w:rsidRPr="002A6BA8">
        <w:rPr>
          <w:lang w:eastAsia="en-GB"/>
        </w:rPr>
        <w:t>happens only for few fullerene</w:t>
      </w:r>
      <w:r w:rsidR="008F2F36" w:rsidRPr="002A6BA8">
        <w:rPr>
          <w:lang w:eastAsia="en-GB"/>
        </w:rPr>
        <w:t xml:space="preserve"> monolayer</w:t>
      </w:r>
      <w:r w:rsidR="00CE076A" w:rsidRPr="002A6BA8">
        <w:rPr>
          <w:lang w:eastAsia="en-GB"/>
        </w:rPr>
        <w:t>s</w:t>
      </w:r>
      <w:r w:rsidR="00CE076A" w:rsidRPr="002A6BA8">
        <w:rPr>
          <w:vertAlign w:val="subscript"/>
          <w:lang w:eastAsia="en-GB"/>
        </w:rPr>
        <w:t xml:space="preserve"> </w:t>
      </w:r>
      <w:r w:rsidR="00CE0F5F" w:rsidRPr="002A6BA8">
        <w:rPr>
          <w:lang w:eastAsia="en-GB"/>
        </w:rPr>
        <w:fldChar w:fldCharType="begin"/>
      </w:r>
      <w:r w:rsidR="008B459F" w:rsidRPr="002A6BA8">
        <w:rPr>
          <w:lang w:eastAsia="en-GB"/>
        </w:rPr>
        <w:instrText xml:space="preserve"> ADDIN ZOTERO_ITEM CSL_CITATION {"citationID":"25opi50onr","properties":{"formattedCitation":"{\\rtf \\super [44]\\nosupersub{}}","plainCitation":"[44]"},"citationItems":[{"id":795,"uris":["http://zotero.org/users/local/6uiBC8Ma/items/BM87KSR2"],"uri":["http://zotero.org/users/local/6uiBC8Ma/items/BM87KSR2"],"itemData":{"id":795,"type":"article-journal","title":"Electronic structure evolution of fullerene on CH3NH3PbI3","container-title":"Applied Physics Letters","page":"111603","volume":"106","issue":"11","source":"aip.scitation.org (Atypon)","abstract":"The thickness dependence of fullerene on CH3NH3PbI3 perovskite film surface has           been investigated by using ultraviolet photoemission spectroscopy (UPS), X-ray photoemission             spectroscopy (XPS), and inverse           photoemission spectroscopy (IPES). The lowest unoccupied molecular orbital and highest           occupied molecular orbital (HOMO) can be observed directly with IPES and UPS. It is           observed that the HOMO level in fullerene shifts to lower binding energy. The XPS results show a strong           initial shift of core levels to lower binding energy in the perovskite, which indicates that electrons transfer from the             perovskite film to             fullerene           molecules. Further deposition of fullerene forms C60 solid, accompanied by the reduction of           the electron             transfer. The strongest electron transfer happened at 1/4 monolayer of             fullerene.","DOI":"10.1063/1.4916079","ISSN":"0003-6951","journalAbbreviation":"Appl. Phys. Lett.","author":[{"family":"Wang","given":"Chenggong"},{"family":"Wang","given":"Congcong"},{"family":"Liu","given":"Xiaoliang"},{"family":"Kauppi","given":"John"},{"family":"Shao","given":"Yuchuan"},{"family":"Xiao","given":"Zhengguo"},{"family":"Bi","given":"Cheng"},{"family":"Huang","given":"Jinsong"},{"family":"Gao","given":"Yongli"}],"issued":{"date-parts":[["2015",3,16]]}}}],"schema":"https://github.com/citation-style-language/schema/raw/master/csl-citation.json"} </w:instrText>
      </w:r>
      <w:r w:rsidR="00CE0F5F" w:rsidRPr="002A6BA8">
        <w:rPr>
          <w:lang w:eastAsia="en-GB"/>
        </w:rPr>
        <w:fldChar w:fldCharType="separate"/>
      </w:r>
      <w:r w:rsidR="008B459F" w:rsidRPr="002A6BA8">
        <w:rPr>
          <w:vertAlign w:val="superscript"/>
        </w:rPr>
        <w:t>[44]</w:t>
      </w:r>
      <w:r w:rsidR="00CE0F5F" w:rsidRPr="002A6BA8">
        <w:rPr>
          <w:lang w:eastAsia="en-GB"/>
        </w:rPr>
        <w:fldChar w:fldCharType="end"/>
      </w:r>
      <w:r w:rsidRPr="002A6BA8">
        <w:rPr>
          <w:lang w:eastAsia="en-GB"/>
        </w:rPr>
        <w:t>. Above this limit</w:t>
      </w:r>
      <w:r w:rsidR="008F2F36" w:rsidRPr="002A6BA8">
        <w:rPr>
          <w:lang w:eastAsia="en-GB"/>
        </w:rPr>
        <w:t>,</w:t>
      </w:r>
      <w:r w:rsidRPr="002A6BA8">
        <w:rPr>
          <w:lang w:eastAsia="en-GB"/>
        </w:rPr>
        <w:t xml:space="preserve"> ele</w:t>
      </w:r>
      <w:r w:rsidR="00CE076A" w:rsidRPr="002A6BA8">
        <w:rPr>
          <w:lang w:eastAsia="en-GB"/>
        </w:rPr>
        <w:t>ctron transfer is saturated and hampered</w:t>
      </w:r>
      <w:r w:rsidRPr="002A6BA8">
        <w:rPr>
          <w:lang w:eastAsia="en-GB"/>
        </w:rPr>
        <w:t>. In our case, the blending of C</w:t>
      </w:r>
      <w:r w:rsidRPr="002A6BA8">
        <w:rPr>
          <w:vertAlign w:val="subscript"/>
          <w:lang w:eastAsia="en-GB"/>
        </w:rPr>
        <w:t>70</w:t>
      </w:r>
      <w:r w:rsidRPr="002A6BA8">
        <w:rPr>
          <w:lang w:eastAsia="en-GB"/>
        </w:rPr>
        <w:t xml:space="preserve"> within the solution ensures a fine dispersion of the C</w:t>
      </w:r>
      <w:r w:rsidRPr="002A6BA8">
        <w:rPr>
          <w:vertAlign w:val="subscript"/>
          <w:lang w:eastAsia="en-GB"/>
        </w:rPr>
        <w:t>70</w:t>
      </w:r>
      <w:r w:rsidRPr="002A6BA8">
        <w:rPr>
          <w:lang w:eastAsia="en-GB"/>
        </w:rPr>
        <w:t xml:space="preserve"> molecules</w:t>
      </w:r>
      <w:r w:rsidR="00D3191C" w:rsidRPr="002A6BA8">
        <w:rPr>
          <w:lang w:eastAsia="en-GB"/>
        </w:rPr>
        <w:t xml:space="preserve"> and</w:t>
      </w:r>
      <w:r w:rsidRPr="002A6BA8">
        <w:rPr>
          <w:lang w:eastAsia="en-GB"/>
        </w:rPr>
        <w:t xml:space="preserve"> limits the</w:t>
      </w:r>
      <w:r w:rsidR="00D3191C" w:rsidRPr="002A6BA8">
        <w:rPr>
          <w:lang w:eastAsia="en-GB"/>
        </w:rPr>
        <w:t>ir</w:t>
      </w:r>
      <w:r w:rsidRPr="002A6BA8">
        <w:rPr>
          <w:lang w:eastAsia="en-GB"/>
        </w:rPr>
        <w:t xml:space="preserve"> aggregation, thus enabling an efficient electron transfer. </w:t>
      </w:r>
      <w:r w:rsidR="00DC0CAB" w:rsidRPr="002A6BA8">
        <w:rPr>
          <w:lang w:eastAsia="en-GB"/>
        </w:rPr>
        <w:t>Note that</w:t>
      </w:r>
      <w:r w:rsidR="00CA2950" w:rsidRPr="002A6BA8">
        <w:rPr>
          <w:lang w:eastAsia="en-GB"/>
        </w:rPr>
        <w:t>, c</w:t>
      </w:r>
      <w:r w:rsidR="00DC0CAB" w:rsidRPr="002A6BA8">
        <w:rPr>
          <w:lang w:eastAsia="en-GB"/>
        </w:rPr>
        <w:t>onsidering a typical value for the electron diffusion</w:t>
      </w:r>
      <w:r w:rsidR="00CA2950" w:rsidRPr="002A6BA8">
        <w:rPr>
          <w:lang w:eastAsia="en-GB"/>
        </w:rPr>
        <w:t xml:space="preserve"> coefficient</w:t>
      </w:r>
      <w:r w:rsidR="00DC0CAB" w:rsidRPr="002A6BA8">
        <w:rPr>
          <w:lang w:eastAsia="en-GB"/>
        </w:rPr>
        <w:t xml:space="preserve"> in MAPbI</w:t>
      </w:r>
      <w:r w:rsidR="00DC0CAB" w:rsidRPr="002A6BA8">
        <w:rPr>
          <w:vertAlign w:val="subscript"/>
          <w:lang w:eastAsia="en-GB"/>
        </w:rPr>
        <w:t>3</w:t>
      </w:r>
      <w:r w:rsidR="00DC0CAB" w:rsidRPr="002A6BA8">
        <w:rPr>
          <w:lang w:eastAsia="en-GB"/>
        </w:rPr>
        <w:t xml:space="preserve"> of </w:t>
      </w:r>
      <w:r w:rsidR="00CA2950" w:rsidRPr="002A6BA8">
        <w:rPr>
          <w:lang w:eastAsia="en-GB"/>
        </w:rPr>
        <w:t xml:space="preserve">D </w:t>
      </w:r>
      <w:r w:rsidR="00CA2950" w:rsidRPr="002A6BA8">
        <w:rPr>
          <w:lang w:eastAsia="en-GB"/>
        </w:rPr>
        <w:sym w:font="Symbol" w:char="F0BB"/>
      </w:r>
      <w:r w:rsidR="00CA2950" w:rsidRPr="002A6BA8">
        <w:rPr>
          <w:lang w:eastAsia="en-GB"/>
        </w:rPr>
        <w:t xml:space="preserve"> </w:t>
      </w:r>
      <w:r w:rsidR="00DC0CAB" w:rsidRPr="002A6BA8">
        <w:rPr>
          <w:lang w:eastAsia="en-GB"/>
        </w:rPr>
        <w:t>0.04</w:t>
      </w:r>
      <w:r w:rsidR="00DB60D3" w:rsidRPr="002A6BA8">
        <w:rPr>
          <w:lang w:eastAsia="en-GB"/>
        </w:rPr>
        <w:t xml:space="preserve"> </w:t>
      </w:r>
      <w:r w:rsidR="00DC0CAB" w:rsidRPr="002A6BA8">
        <w:rPr>
          <w:lang w:eastAsia="en-GB"/>
        </w:rPr>
        <w:t>cm</w:t>
      </w:r>
      <w:r w:rsidR="00DC0CAB" w:rsidRPr="002A6BA8">
        <w:rPr>
          <w:vertAlign w:val="superscript"/>
          <w:lang w:eastAsia="en-GB"/>
        </w:rPr>
        <w:t>2</w:t>
      </w:r>
      <w:r w:rsidR="00CE076A" w:rsidRPr="002A6BA8">
        <w:rPr>
          <w:lang w:eastAsia="en-GB"/>
        </w:rPr>
        <w:t xml:space="preserve">/s </w:t>
      </w:r>
      <w:r w:rsidR="00CE076A" w:rsidRPr="002A6BA8">
        <w:rPr>
          <w:lang w:eastAsia="en-GB"/>
        </w:rPr>
        <w:fldChar w:fldCharType="begin"/>
      </w:r>
      <w:r w:rsidR="00CE076A" w:rsidRPr="002A6BA8">
        <w:rPr>
          <w:lang w:eastAsia="en-GB"/>
        </w:rPr>
        <w:instrText xml:space="preserve"> ADDIN ZOTERO_ITEM CSL_CITATION {"citationID":"6a0unougt","properties":{"formattedCitation":"{\\rtf \\super [9]\\nosupersub{}}","plainCitation":"[9]"},"citationItems":[{"id":357,"uris":["http://zotero.org/users/local/6uiBC8Ma/items/WBCPJA4S"],"uri":["http://zotero.org/users/local/6uiBC8Ma/items/WBCPJA4S"],"itemData":{"id":357,"type":"article-journal","title":"Electron-hole diffusion lengths exceeding 1 micrometer in an organometal trihalide perovskite absorber","container-title":"Science","page":"341–344","volume":"342","issue":"6156","source":"Google Scholar","author":[{"family":"Stranks","given":"Samuel D."},{"family":"Eperon","given":"Giles E."},{"family":"Grancini","given":"Giulia"},{"family":"Menelaou","given":"Christopher"},{"family":"Alcocer","given":"Marcelo JP"},{"family":"Leijtens","given":"Tomas"},{"family":"Herz","given":"Laura M."},{"family":"Petrozza","given":"Annamaria"},{"family":"Snaith","given":"Henry J."}],"issued":{"date-parts":[["2013"]]}}}],"schema":"https://github.com/citation-style-language/schema/raw/master/csl-citation.json"} </w:instrText>
      </w:r>
      <w:r w:rsidR="00CE076A" w:rsidRPr="002A6BA8">
        <w:rPr>
          <w:lang w:eastAsia="en-GB"/>
        </w:rPr>
        <w:fldChar w:fldCharType="separate"/>
      </w:r>
      <w:r w:rsidR="00CE076A" w:rsidRPr="002A6BA8">
        <w:rPr>
          <w:vertAlign w:val="superscript"/>
        </w:rPr>
        <w:t>[9]</w:t>
      </w:r>
      <w:r w:rsidR="00CE076A" w:rsidRPr="002A6BA8">
        <w:rPr>
          <w:lang w:eastAsia="en-GB"/>
        </w:rPr>
        <w:fldChar w:fldCharType="end"/>
      </w:r>
      <w:r w:rsidR="00DC0CAB" w:rsidRPr="002A6BA8">
        <w:rPr>
          <w:lang w:eastAsia="en-GB"/>
        </w:rPr>
        <w:t>, we can estimate that</w:t>
      </w:r>
      <w:r w:rsidR="00F67F41" w:rsidRPr="002A6BA8">
        <w:rPr>
          <w:lang w:eastAsia="en-GB"/>
        </w:rPr>
        <w:t xml:space="preserve"> in the blend</w:t>
      </w:r>
      <w:r w:rsidR="00DC0CAB" w:rsidRPr="002A6BA8">
        <w:rPr>
          <w:lang w:eastAsia="en-GB"/>
        </w:rPr>
        <w:t xml:space="preserve"> the electrons travels for an average distance</w:t>
      </w:r>
      <w:r w:rsidR="00CE076A" w:rsidRPr="002A6BA8">
        <w:rPr>
          <w:lang w:eastAsia="en-GB"/>
        </w:rPr>
        <w:t xml:space="preserve"> </w:t>
      </w:r>
      <m:oMath>
        <m:sSub>
          <m:sSubPr>
            <m:ctrlPr>
              <w:rPr>
                <w:rFonts w:ascii="Cambria Math" w:hAnsi="Cambria Math" w:cs="Segoe UI"/>
                <w:i/>
                <w:sz w:val="23"/>
                <w:szCs w:val="23"/>
              </w:rPr>
            </m:ctrlPr>
          </m:sSubPr>
          <m:e>
            <m:r>
              <w:rPr>
                <w:rFonts w:ascii="Cambria Math" w:hAnsi="Cambria Math" w:cs="Segoe UI"/>
                <w:sz w:val="23"/>
                <w:szCs w:val="23"/>
              </w:rPr>
              <m:t>L</m:t>
            </m:r>
          </m:e>
          <m:sub>
            <m:r>
              <w:rPr>
                <w:rFonts w:ascii="Cambria Math" w:hAnsi="Cambria Math" w:cs="Segoe UI"/>
                <w:sz w:val="23"/>
                <w:szCs w:val="23"/>
              </w:rPr>
              <m:t>D</m:t>
            </m:r>
          </m:sub>
        </m:sSub>
        <m:r>
          <w:rPr>
            <w:rFonts w:ascii="Cambria Math" w:hAnsi="Cambria Math" w:cs="Segoe UI"/>
            <w:sz w:val="23"/>
            <w:szCs w:val="23"/>
          </w:rPr>
          <m:t>=</m:t>
        </m:r>
        <m:rad>
          <m:radPr>
            <m:degHide m:val="1"/>
            <m:ctrlPr>
              <w:rPr>
                <w:rFonts w:ascii="Cambria Math" w:hAnsi="Cambria Math" w:cs="Segoe UI"/>
                <w:i/>
                <w:sz w:val="23"/>
                <w:szCs w:val="23"/>
              </w:rPr>
            </m:ctrlPr>
          </m:radPr>
          <m:deg/>
          <m:e>
            <m:r>
              <w:rPr>
                <w:rFonts w:ascii="Cambria Math" w:hAnsi="Cambria Math" w:cs="Segoe UI"/>
                <w:sz w:val="23"/>
                <w:szCs w:val="23"/>
              </w:rPr>
              <m:t>2Dτ</m:t>
            </m:r>
          </m:e>
        </m:rad>
        <m:r>
          <w:rPr>
            <w:rFonts w:ascii="Cambria Math" w:hAnsi="Cambria Math" w:cs="Segoe UI"/>
            <w:sz w:val="23"/>
            <w:szCs w:val="23"/>
          </w:rPr>
          <m:t xml:space="preserve"> </m:t>
        </m:r>
      </m:oMath>
      <w:r w:rsidR="00CA2950" w:rsidRPr="002A6BA8">
        <w:rPr>
          <w:lang w:eastAsia="en-GB"/>
        </w:rPr>
        <w:sym w:font="Symbol" w:char="F0BB"/>
      </w:r>
      <w:r w:rsidR="00DC0CAB" w:rsidRPr="002A6BA8">
        <w:rPr>
          <w:lang w:eastAsia="en-GB"/>
        </w:rPr>
        <w:t>1</w:t>
      </w:r>
      <w:r w:rsidR="00DB60D3" w:rsidRPr="002A6BA8">
        <w:rPr>
          <w:lang w:eastAsia="en-GB"/>
        </w:rPr>
        <w:t>3</w:t>
      </w:r>
      <w:r w:rsidR="00DC0CAB" w:rsidRPr="002A6BA8">
        <w:rPr>
          <w:lang w:eastAsia="en-GB"/>
        </w:rPr>
        <w:t xml:space="preserve"> nm prior to</w:t>
      </w:r>
      <w:r w:rsidR="00D63FDC" w:rsidRPr="002A6BA8">
        <w:rPr>
          <w:lang w:eastAsia="en-GB"/>
        </w:rPr>
        <w:t xml:space="preserve"> the</w:t>
      </w:r>
      <w:r w:rsidR="00DC0CAB" w:rsidRPr="002A6BA8">
        <w:rPr>
          <w:lang w:eastAsia="en-GB"/>
        </w:rPr>
        <w:t xml:space="preserve"> encounter </w:t>
      </w:r>
      <w:r w:rsidR="00D63FDC" w:rsidRPr="002A6BA8">
        <w:rPr>
          <w:lang w:eastAsia="en-GB"/>
        </w:rPr>
        <w:t xml:space="preserve">with </w:t>
      </w:r>
      <w:r w:rsidR="00DC0CAB" w:rsidRPr="002A6BA8">
        <w:rPr>
          <w:lang w:eastAsia="en-GB"/>
        </w:rPr>
        <w:t>the C</w:t>
      </w:r>
      <w:r w:rsidR="00DC0CAB" w:rsidRPr="002A6BA8">
        <w:rPr>
          <w:vertAlign w:val="subscript"/>
          <w:lang w:eastAsia="en-GB"/>
        </w:rPr>
        <w:t xml:space="preserve">70 </w:t>
      </w:r>
      <w:r w:rsidR="00DC0CAB" w:rsidRPr="002A6BA8">
        <w:rPr>
          <w:lang w:eastAsia="en-GB"/>
        </w:rPr>
        <w:t>molecules where electron transfer happens</w:t>
      </w:r>
      <w:r w:rsidR="00B0731F" w:rsidRPr="002A6BA8">
        <w:rPr>
          <w:lang w:eastAsia="en-GB"/>
        </w:rPr>
        <w:t xml:space="preserve"> (using </w:t>
      </w:r>
      <w:r w:rsidR="00B0731F" w:rsidRPr="002A6BA8">
        <w:rPr>
          <w:rFonts w:ascii="Symbol" w:hAnsi="Symbol"/>
          <w:lang w:eastAsia="en-GB"/>
        </w:rPr>
        <w:t></w:t>
      </w:r>
      <w:r w:rsidR="00B0731F" w:rsidRPr="002A6BA8">
        <w:rPr>
          <w:lang w:eastAsia="en-GB"/>
        </w:rPr>
        <w:t>=20 ps)</w:t>
      </w:r>
      <w:r w:rsidR="00DC0CAB" w:rsidRPr="002A6BA8">
        <w:rPr>
          <w:lang w:eastAsia="en-GB"/>
        </w:rPr>
        <w:t>. Thus, the C</w:t>
      </w:r>
      <w:r w:rsidR="00DC0CAB" w:rsidRPr="002A6BA8">
        <w:rPr>
          <w:vertAlign w:val="subscript"/>
          <w:lang w:eastAsia="en-GB"/>
        </w:rPr>
        <w:t>70</w:t>
      </w:r>
      <w:r w:rsidR="00DC0CAB" w:rsidRPr="002A6BA8">
        <w:rPr>
          <w:lang w:eastAsia="en-GB"/>
        </w:rPr>
        <w:t xml:space="preserve"> molecules are well dispersed within the bulk of the perovskite, possibly infiltrating at the grain boundaries. This </w:t>
      </w:r>
      <w:r w:rsidR="00F67F41" w:rsidRPr="002A6BA8">
        <w:rPr>
          <w:lang w:eastAsia="en-GB"/>
        </w:rPr>
        <w:t>observation</w:t>
      </w:r>
      <w:r w:rsidR="00DC0CAB" w:rsidRPr="002A6BA8">
        <w:rPr>
          <w:lang w:eastAsia="en-GB"/>
        </w:rPr>
        <w:t xml:space="preserve"> is further validated by measuring a planar interface consisting of 20 nm thick MAPbI</w:t>
      </w:r>
      <w:r w:rsidR="00DC0CAB" w:rsidRPr="002A6BA8">
        <w:rPr>
          <w:vertAlign w:val="subscript"/>
          <w:lang w:eastAsia="en-GB"/>
        </w:rPr>
        <w:t>3</w:t>
      </w:r>
      <w:r w:rsidR="00DC0CAB" w:rsidRPr="002A6BA8">
        <w:rPr>
          <w:lang w:eastAsia="en-GB"/>
        </w:rPr>
        <w:t xml:space="preserve"> layer interfaced with C</w:t>
      </w:r>
      <w:r w:rsidR="00DC0CAB" w:rsidRPr="002A6BA8">
        <w:rPr>
          <w:vertAlign w:val="subscript"/>
          <w:lang w:eastAsia="en-GB"/>
        </w:rPr>
        <w:t xml:space="preserve">70 </w:t>
      </w:r>
      <w:r w:rsidR="00DC0CAB" w:rsidRPr="002A6BA8">
        <w:rPr>
          <w:lang w:eastAsia="en-GB"/>
        </w:rPr>
        <w:t>evaporated on top</w:t>
      </w:r>
      <w:r w:rsidR="00454955" w:rsidRPr="002A6BA8">
        <w:rPr>
          <w:lang w:eastAsia="en-GB"/>
        </w:rPr>
        <w:t xml:space="preserve"> (</w:t>
      </w:r>
      <w:r w:rsidR="00824545" w:rsidRPr="002A6BA8">
        <w:rPr>
          <w:lang w:eastAsia="en-GB"/>
        </w:rPr>
        <w:t>see d</w:t>
      </w:r>
      <w:r w:rsidR="00454955" w:rsidRPr="002A6BA8">
        <w:rPr>
          <w:lang w:eastAsia="en-GB"/>
        </w:rPr>
        <w:t>ata in Fig</w:t>
      </w:r>
      <w:r w:rsidR="00DC2491" w:rsidRPr="002A6BA8">
        <w:rPr>
          <w:lang w:eastAsia="en-GB"/>
        </w:rPr>
        <w:t>ure</w:t>
      </w:r>
      <w:r w:rsidR="00454955" w:rsidRPr="002A6BA8">
        <w:rPr>
          <w:lang w:eastAsia="en-GB"/>
        </w:rPr>
        <w:t xml:space="preserve"> S</w:t>
      </w:r>
      <w:r w:rsidR="00824545" w:rsidRPr="002A6BA8">
        <w:rPr>
          <w:lang w:eastAsia="en-GB"/>
        </w:rPr>
        <w:t>7</w:t>
      </w:r>
      <w:r w:rsidR="00454955" w:rsidRPr="002A6BA8">
        <w:rPr>
          <w:lang w:eastAsia="en-GB"/>
        </w:rPr>
        <w:t>)</w:t>
      </w:r>
      <w:r w:rsidR="00DC0CAB" w:rsidRPr="002A6BA8">
        <w:rPr>
          <w:lang w:eastAsia="en-GB"/>
        </w:rPr>
        <w:t>. In this case, the MAPbI</w:t>
      </w:r>
      <w:r w:rsidR="00DC0CAB" w:rsidRPr="002A6BA8">
        <w:rPr>
          <w:vertAlign w:val="subscript"/>
          <w:lang w:eastAsia="en-GB"/>
        </w:rPr>
        <w:t>3</w:t>
      </w:r>
      <w:r w:rsidR="00DC0CAB" w:rsidRPr="002A6BA8">
        <w:rPr>
          <w:lang w:eastAsia="en-GB"/>
        </w:rPr>
        <w:t xml:space="preserve"> PB gets quenched (see Fig</w:t>
      </w:r>
      <w:r w:rsidR="00DC2491" w:rsidRPr="002A6BA8">
        <w:rPr>
          <w:lang w:eastAsia="en-GB"/>
        </w:rPr>
        <w:t>ure</w:t>
      </w:r>
      <w:r w:rsidR="00DC0CAB" w:rsidRPr="002A6BA8">
        <w:rPr>
          <w:lang w:eastAsia="en-GB"/>
        </w:rPr>
        <w:t xml:space="preserve"> S</w:t>
      </w:r>
      <w:r w:rsidR="00824545" w:rsidRPr="002A6BA8">
        <w:rPr>
          <w:lang w:eastAsia="en-GB"/>
        </w:rPr>
        <w:t>7</w:t>
      </w:r>
      <w:r w:rsidR="00454955" w:rsidRPr="002A6BA8">
        <w:rPr>
          <w:lang w:eastAsia="en-GB"/>
        </w:rPr>
        <w:t>)</w:t>
      </w:r>
      <w:r w:rsidR="00DC0CAB" w:rsidRPr="002A6BA8">
        <w:rPr>
          <w:lang w:eastAsia="en-GB"/>
        </w:rPr>
        <w:t xml:space="preserve"> with a time constant </w:t>
      </w:r>
      <w:r w:rsidR="00DC0CAB" w:rsidRPr="002A6BA8">
        <w:rPr>
          <w:rFonts w:ascii="Symbol" w:hAnsi="Symbol"/>
          <w:lang w:eastAsia="en-GB"/>
        </w:rPr>
        <w:t></w:t>
      </w:r>
      <w:r w:rsidR="00DC0CAB" w:rsidRPr="002A6BA8">
        <w:rPr>
          <w:lang w:eastAsia="en-GB"/>
        </w:rPr>
        <w:t>=</w:t>
      </w:r>
      <w:r w:rsidR="00912D6D" w:rsidRPr="002A6BA8">
        <w:rPr>
          <w:lang w:eastAsia="en-GB"/>
        </w:rPr>
        <w:t xml:space="preserve"> </w:t>
      </w:r>
      <w:r w:rsidR="00DC0CAB" w:rsidRPr="002A6BA8">
        <w:rPr>
          <w:lang w:eastAsia="en-GB"/>
        </w:rPr>
        <w:t xml:space="preserve">40 ps. </w:t>
      </w:r>
      <w:r w:rsidR="00DA337E" w:rsidRPr="002A6BA8">
        <w:rPr>
          <w:lang w:eastAsia="en-GB"/>
        </w:rPr>
        <w:t>To further corroborate that the quenching is due to</w:t>
      </w:r>
      <w:r w:rsidR="003A66D3" w:rsidRPr="002A6BA8">
        <w:rPr>
          <w:lang w:eastAsia="en-GB"/>
        </w:rPr>
        <w:t xml:space="preserve"> electron transfer we also </w:t>
      </w:r>
      <w:r w:rsidR="003A66D3" w:rsidRPr="002A6BA8">
        <w:rPr>
          <w:lang w:eastAsia="en-GB"/>
        </w:rPr>
        <w:lastRenderedPageBreak/>
        <w:t>analyzed the TA spectrum extended towards the IR region (data presented in Figure S8). Compared to pristine MAPbI</w:t>
      </w:r>
      <w:r w:rsidR="003A66D3" w:rsidRPr="002A6BA8">
        <w:rPr>
          <w:vertAlign w:val="subscript"/>
          <w:lang w:eastAsia="en-GB"/>
        </w:rPr>
        <w:t>3</w:t>
      </w:r>
      <w:r w:rsidR="003A66D3" w:rsidRPr="002A6BA8">
        <w:rPr>
          <w:lang w:eastAsia="en-GB"/>
        </w:rPr>
        <w:t xml:space="preserve"> showing a featureless positive signal which was previously ssigned to the PB of mid-gap trap states, </w:t>
      </w:r>
      <w:r w:rsidR="003A66D3" w:rsidRPr="002A6BA8">
        <w:rPr>
          <w:vertAlign w:val="superscript"/>
          <w:lang w:eastAsia="en-GB"/>
        </w:rPr>
        <w:t>[28]</w:t>
      </w:r>
      <w:r w:rsidR="003A66D3" w:rsidRPr="002A6BA8">
        <w:rPr>
          <w:lang w:eastAsia="en-GB"/>
        </w:rPr>
        <w:t xml:space="preserve"> the bilayer shows the formation of a negative band beyons 1000 nm which is consistent with a photoinduced absorption (PA) band of the reduced C</w:t>
      </w:r>
      <w:r w:rsidR="003A66D3" w:rsidRPr="002A6BA8">
        <w:rPr>
          <w:vertAlign w:val="subscript"/>
          <w:lang w:eastAsia="en-GB"/>
        </w:rPr>
        <w:t xml:space="preserve">70 </w:t>
      </w:r>
      <w:r w:rsidR="003A66D3" w:rsidRPr="002A6BA8">
        <w:rPr>
          <w:lang w:eastAsia="en-GB"/>
        </w:rPr>
        <w:t>molecules.</w:t>
      </w:r>
      <w:r w:rsidR="00DA337E" w:rsidRPr="002A6BA8">
        <w:rPr>
          <w:lang w:eastAsia="en-GB"/>
        </w:rPr>
        <w:t xml:space="preserve"> </w:t>
      </w:r>
      <w:r w:rsidR="003A66D3" w:rsidRPr="002A6BA8">
        <w:rPr>
          <w:lang w:eastAsia="en-GB"/>
        </w:rPr>
        <w:t xml:space="preserve">This further demonstrate that </w:t>
      </w:r>
      <w:r w:rsidR="00454955" w:rsidRPr="002A6BA8">
        <w:rPr>
          <w:lang w:eastAsia="en-GB"/>
        </w:rPr>
        <w:t xml:space="preserve">electron transfer </w:t>
      </w:r>
      <w:r w:rsidR="003A66D3" w:rsidRPr="002A6BA8">
        <w:rPr>
          <w:lang w:eastAsia="en-GB"/>
        </w:rPr>
        <w:t>to C</w:t>
      </w:r>
      <w:r w:rsidR="003A66D3" w:rsidRPr="002A6BA8">
        <w:rPr>
          <w:vertAlign w:val="subscript"/>
          <w:lang w:eastAsia="en-GB"/>
        </w:rPr>
        <w:t>70</w:t>
      </w:r>
      <w:r w:rsidR="003A66D3" w:rsidRPr="002A6BA8">
        <w:rPr>
          <w:lang w:eastAsia="en-GB"/>
        </w:rPr>
        <w:t xml:space="preserve"> happens </w:t>
      </w:r>
      <w:r w:rsidR="00454955" w:rsidRPr="002A6BA8">
        <w:rPr>
          <w:lang w:eastAsia="en-GB"/>
        </w:rPr>
        <w:t>upon charge diffus</w:t>
      </w:r>
      <w:r w:rsidR="00D63FDC" w:rsidRPr="002A6BA8">
        <w:rPr>
          <w:lang w:eastAsia="en-GB"/>
        </w:rPr>
        <w:t>ion</w:t>
      </w:r>
      <w:r w:rsidR="003A66D3" w:rsidRPr="002A6BA8">
        <w:rPr>
          <w:lang w:eastAsia="en-GB"/>
        </w:rPr>
        <w:t xml:space="preserve"> in the perovskite film</w:t>
      </w:r>
      <w:r w:rsidR="00F67F41" w:rsidRPr="002A6BA8">
        <w:rPr>
          <w:lang w:eastAsia="en-GB"/>
        </w:rPr>
        <w:t xml:space="preserve">. The diffusion length, in this case, is ultimately dictated by the sample thickness of 20 nm. </w:t>
      </w:r>
      <w:r w:rsidR="00454955" w:rsidRPr="002A6BA8">
        <w:rPr>
          <w:lang w:eastAsia="en-GB"/>
        </w:rPr>
        <w:t xml:space="preserve"> Thus, we can estimate </w:t>
      </w:r>
      <w:r w:rsidR="00933579" w:rsidRPr="002A6BA8">
        <w:rPr>
          <w:lang w:eastAsia="en-GB"/>
        </w:rPr>
        <w:t>a</w:t>
      </w:r>
      <w:r w:rsidR="008D28E8" w:rsidRPr="002A6BA8">
        <w:rPr>
          <w:lang w:eastAsia="en-GB"/>
        </w:rPr>
        <w:t xml:space="preserve"> </w:t>
      </w:r>
      <w:r w:rsidR="00454955" w:rsidRPr="002A6BA8">
        <w:rPr>
          <w:lang w:eastAsia="en-GB"/>
        </w:rPr>
        <w:t>diffusion constant</w:t>
      </w:r>
      <w:r w:rsidR="00D63FDC" w:rsidRPr="002A6BA8">
        <w:rPr>
          <w:vertAlign w:val="superscript"/>
          <w:lang w:eastAsia="en-GB"/>
        </w:rPr>
        <w:t xml:space="preserve"> </w:t>
      </w:r>
      <w:r w:rsidR="00454955" w:rsidRPr="002A6BA8">
        <w:rPr>
          <w:rFonts w:hint="eastAsia"/>
          <w:lang w:eastAsia="en-GB"/>
        </w:rPr>
        <w:t xml:space="preserve">of </w:t>
      </w:r>
      <w:r w:rsidR="00DC0CAB" w:rsidRPr="002A6BA8">
        <w:rPr>
          <w:lang w:eastAsia="en-GB"/>
        </w:rPr>
        <w:t>0.0</w:t>
      </w:r>
      <w:r w:rsidR="00331BAE" w:rsidRPr="002A6BA8">
        <w:rPr>
          <w:lang w:eastAsia="en-GB"/>
        </w:rPr>
        <w:t>5</w:t>
      </w:r>
      <w:r w:rsidR="00454955" w:rsidRPr="002A6BA8">
        <w:rPr>
          <w:lang w:eastAsia="en-GB"/>
        </w:rPr>
        <w:t xml:space="preserve"> </w:t>
      </w:r>
      <w:r w:rsidR="00DC0CAB" w:rsidRPr="002A6BA8">
        <w:rPr>
          <w:lang w:eastAsia="en-GB"/>
        </w:rPr>
        <w:t>cm</w:t>
      </w:r>
      <w:r w:rsidR="00DC0CAB" w:rsidRPr="002A6BA8">
        <w:rPr>
          <w:vertAlign w:val="superscript"/>
          <w:lang w:eastAsia="en-GB"/>
        </w:rPr>
        <w:t>2</w:t>
      </w:r>
      <w:r w:rsidR="00DC0CAB" w:rsidRPr="002A6BA8">
        <w:rPr>
          <w:lang w:eastAsia="en-GB"/>
        </w:rPr>
        <w:t>/s</w:t>
      </w:r>
      <w:r w:rsidR="00D63FDC" w:rsidRPr="002A6BA8">
        <w:rPr>
          <w:lang w:eastAsia="en-GB"/>
        </w:rPr>
        <w:t>,</w:t>
      </w:r>
      <w:r w:rsidR="00DC0CAB" w:rsidRPr="002A6BA8">
        <w:rPr>
          <w:lang w:eastAsia="en-GB"/>
        </w:rPr>
        <w:t xml:space="preserve"> </w:t>
      </w:r>
      <w:r w:rsidR="00331BAE" w:rsidRPr="002A6BA8">
        <w:rPr>
          <w:lang w:eastAsia="en-GB"/>
        </w:rPr>
        <w:t>in good ag</w:t>
      </w:r>
      <w:r w:rsidR="00DC0CAB" w:rsidRPr="002A6BA8">
        <w:rPr>
          <w:lang w:eastAsia="en-GB"/>
        </w:rPr>
        <w:t xml:space="preserve">reement with what reported in </w:t>
      </w:r>
      <w:r w:rsidR="00D63FDC" w:rsidRPr="002A6BA8">
        <w:rPr>
          <w:lang w:eastAsia="en-GB"/>
        </w:rPr>
        <w:t xml:space="preserve">the </w:t>
      </w:r>
      <w:r w:rsidR="00DC0CAB" w:rsidRPr="002A6BA8">
        <w:rPr>
          <w:lang w:eastAsia="en-GB"/>
        </w:rPr>
        <w:t>literature sofar</w:t>
      </w:r>
      <w:r w:rsidR="00454955" w:rsidRPr="002A6BA8">
        <w:rPr>
          <w:lang w:eastAsia="en-GB"/>
        </w:rPr>
        <w:t xml:space="preserve"> and obtained for the finely dispersed morphology. In </w:t>
      </w:r>
      <w:r w:rsidR="00331BAE" w:rsidRPr="002A6BA8">
        <w:rPr>
          <w:lang w:eastAsia="en-GB"/>
        </w:rPr>
        <w:t>our</w:t>
      </w:r>
      <w:r w:rsidR="00454955" w:rsidRPr="002A6BA8">
        <w:rPr>
          <w:lang w:eastAsia="en-GB"/>
        </w:rPr>
        <w:t xml:space="preserve"> case, t</w:t>
      </w:r>
      <w:r w:rsidR="00F56384" w:rsidRPr="002A6BA8">
        <w:rPr>
          <w:lang w:eastAsia="en-GB"/>
        </w:rPr>
        <w:t>he electron transfer to the C</w:t>
      </w:r>
      <w:r w:rsidR="00F56384" w:rsidRPr="002A6BA8">
        <w:rPr>
          <w:vertAlign w:val="subscript"/>
          <w:lang w:eastAsia="en-GB"/>
        </w:rPr>
        <w:t>70</w:t>
      </w:r>
      <w:r w:rsidR="00F56384" w:rsidRPr="002A6BA8">
        <w:rPr>
          <w:lang w:eastAsia="en-GB"/>
        </w:rPr>
        <w:t xml:space="preserve"> </w:t>
      </w:r>
      <w:r w:rsidR="00454955" w:rsidRPr="002A6BA8">
        <w:rPr>
          <w:lang w:eastAsia="en-GB"/>
        </w:rPr>
        <w:t xml:space="preserve">happens </w:t>
      </w:r>
      <w:r w:rsidR="00331BAE" w:rsidRPr="002A6BA8">
        <w:rPr>
          <w:lang w:eastAsia="en-GB"/>
        </w:rPr>
        <w:t>with a time constant of 20</w:t>
      </w:r>
      <w:r w:rsidR="00454955" w:rsidRPr="002A6BA8">
        <w:rPr>
          <w:lang w:eastAsia="en-GB"/>
        </w:rPr>
        <w:t xml:space="preserve"> ps, possibly preventing </w:t>
      </w:r>
      <w:r w:rsidR="00F56384" w:rsidRPr="002A6BA8">
        <w:rPr>
          <w:lang w:eastAsia="en-GB"/>
        </w:rPr>
        <w:t>the electron</w:t>
      </w:r>
      <w:r w:rsidR="00454955" w:rsidRPr="002A6BA8">
        <w:rPr>
          <w:lang w:eastAsia="en-GB"/>
        </w:rPr>
        <w:t>s</w:t>
      </w:r>
      <w:r w:rsidR="00D63FDC" w:rsidRPr="002A6BA8">
        <w:rPr>
          <w:lang w:eastAsia="en-GB"/>
        </w:rPr>
        <w:t xml:space="preserve"> from</w:t>
      </w:r>
      <w:r w:rsidR="00454955" w:rsidRPr="002A6BA8">
        <w:rPr>
          <w:lang w:eastAsia="en-GB"/>
        </w:rPr>
        <w:t xml:space="preserve"> get</w:t>
      </w:r>
      <w:r w:rsidR="00D63FDC" w:rsidRPr="002A6BA8">
        <w:rPr>
          <w:lang w:eastAsia="en-GB"/>
        </w:rPr>
        <w:t>ting</w:t>
      </w:r>
      <w:r w:rsidR="00454955" w:rsidRPr="002A6BA8">
        <w:rPr>
          <w:lang w:eastAsia="en-GB"/>
        </w:rPr>
        <w:t xml:space="preserve"> trapped, while diffusing into the</w:t>
      </w:r>
      <w:r w:rsidR="00F56384" w:rsidRPr="002A6BA8">
        <w:rPr>
          <w:lang w:eastAsia="en-GB"/>
        </w:rPr>
        <w:t xml:space="preserve"> </w:t>
      </w:r>
      <w:r w:rsidR="00DC0CAB" w:rsidRPr="002A6BA8">
        <w:rPr>
          <w:lang w:eastAsia="en-GB"/>
        </w:rPr>
        <w:t>perovskite grain boundaries</w:t>
      </w:r>
      <w:r w:rsidR="00F56384" w:rsidRPr="002A6BA8">
        <w:rPr>
          <w:lang w:eastAsia="en-GB"/>
        </w:rPr>
        <w:t xml:space="preserve"> </w:t>
      </w:r>
      <w:r w:rsidR="00F56384" w:rsidRPr="002A6BA8">
        <w:rPr>
          <w:lang w:eastAsia="en-GB"/>
        </w:rPr>
        <w:fldChar w:fldCharType="begin"/>
      </w:r>
      <w:r w:rsidR="008B459F" w:rsidRPr="002A6BA8">
        <w:rPr>
          <w:lang w:eastAsia="en-GB"/>
        </w:rPr>
        <w:instrText xml:space="preserve"> ADDIN ZOTERO_ITEM CSL_CITATION {"citationID":"sqbj9u21","properties":{"formattedCitation":"{\\rtf \\super [12,44]\\nosupersub{}}","plainCitation":"[12,44]"},"citationItems":[{"id":795,"uris":["http://zotero.org/users/local/6uiBC8Ma/items/BM87KSR2"],"uri":["http://zotero.org/users/local/6uiBC8Ma/items/BM87KSR2"],"itemData":{"id":795,"type":"article-journal","title":"Electronic structure evolution of fullerene on CH3NH3PbI3","container-title":"Applied Physics Letters","page":"111603","volume":"106","issue":"11","source":"aip.scitation.org (Atypon)","abstract":"The thickness dependence of fullerene on CH3NH3PbI3 perovskite film surface has           been investigated by using ultraviolet photoemission spectroscopy (UPS), X-ray photoemission             spectroscopy (XPS), and inverse           photoemission spectroscopy (IPES). The lowest unoccupied molecular orbital and highest           occupied molecular orbital (HOMO) can be observed directly with IPES and UPS. It is           observed that the HOMO level in fullerene shifts to lower binding energy. The XPS results show a strong           initial shift of core levels to lower binding energy in the perovskite, which indicates that electrons transfer from the             perovskite film to             fullerene           molecules. Further deposition of fullerene forms C60 solid, accompanied by the reduction of           the electron             transfer. The strongest electron transfer happened at 1/4 monolayer of             fullerene.","DOI":"10.1063/1.4916079","ISSN":"0003-6951","journalAbbreviation":"Appl. Phys. Lett.","author":[{"family":"Wang","given":"Chenggong"},{"family":"Wang","given":"Congcong"},{"family":"Liu","given":"Xiaoliang"},{"family":"Kauppi","given":"John"},{"family":"Shao","given":"Yuchuan"},{"family":"Xiao","given":"Zhengguo"},{"family":"Bi","given":"Cheng"},{"family":"Huang","given":"Jinsong"},{"family":"Gao","given":"Yongli"}],"issued":{"date-parts":[["2015",3,16]]}}},{"id":748,"uris":["http://zotero.org/users/local/6uiBC8Ma/items/R74ZAVTK"],"uri":["http://zotero.org/users/local/6uiBC8Ma/items/R74ZAVTK"],"itemData":{"id":748,"type":"article-journal","title":"Origin and elimination of photocurrent hysteresis by fullerene passivation in CH&lt;sub&gt;3&lt;/sub&gt;NH&lt;sub&gt;3&lt;/sub&gt;PbI&lt;sub&gt;3&lt;/sub&gt; planar heterojunction solar cells","container-title":"Nature Communications","page":"ncomms6784","volume":"5","source":"www.nature.com","abstract":"&lt;p&gt;\nDespite recent improvements in the efficiency of perovskite solar cells, the occurrence of photocurrent hysteresis can limit their performance. Shao &lt;i&gt;et al.&lt;/i&gt; identify surface and grain boundary charge trap states as a major cause of hysteresis in these materials and&amp;hellip;&lt;/p&gt;","DOI":"10.1038/ncomms6784","ISSN":"2041-1723","language":"en","author":[{"family":"Shao","given":"Yuchuan"},{"family":"Xiao","given":"Zhengguo"},{"family":"Bi","given":"Cheng"},{"family":"Yuan","given":"Yongbo"},{"family":"Huang","given":"Jinsong"}],"issued":{"date-parts":[["2014",12,15]]}}}],"schema":"https://github.com/citation-style-language/schema/raw/master/csl-citation.json"} </w:instrText>
      </w:r>
      <w:r w:rsidR="00F56384" w:rsidRPr="002A6BA8">
        <w:rPr>
          <w:lang w:eastAsia="en-GB"/>
        </w:rPr>
        <w:fldChar w:fldCharType="separate"/>
      </w:r>
      <w:r w:rsidR="008B459F" w:rsidRPr="002A6BA8">
        <w:rPr>
          <w:vertAlign w:val="superscript"/>
        </w:rPr>
        <w:t>[12,44]</w:t>
      </w:r>
      <w:r w:rsidR="00F56384" w:rsidRPr="002A6BA8">
        <w:rPr>
          <w:lang w:eastAsia="en-GB"/>
        </w:rPr>
        <w:fldChar w:fldCharType="end"/>
      </w:r>
      <w:r w:rsidR="009D5988" w:rsidRPr="002A6BA8">
        <w:rPr>
          <w:lang w:eastAsia="en-GB"/>
        </w:rPr>
        <w:t>.</w:t>
      </w:r>
      <w:r w:rsidR="00F56384" w:rsidRPr="002A6BA8">
        <w:rPr>
          <w:lang w:eastAsia="en-GB"/>
        </w:rPr>
        <w:t xml:space="preserve"> </w:t>
      </w:r>
      <w:r w:rsidR="009D5988" w:rsidRPr="002A6BA8">
        <w:rPr>
          <w:lang w:eastAsia="en-GB"/>
        </w:rPr>
        <w:t xml:space="preserve">It is fair noticing </w:t>
      </w:r>
      <w:r w:rsidR="00DC0CAB" w:rsidRPr="002A6BA8">
        <w:rPr>
          <w:lang w:eastAsia="en-GB"/>
        </w:rPr>
        <w:t>that the LUMO of the fullerene has been most of the case</w:t>
      </w:r>
      <w:r w:rsidR="009D5988" w:rsidRPr="002A6BA8">
        <w:rPr>
          <w:lang w:eastAsia="en-GB"/>
        </w:rPr>
        <w:t>s</w:t>
      </w:r>
      <w:r w:rsidR="00DC0CAB" w:rsidRPr="002A6BA8">
        <w:rPr>
          <w:lang w:eastAsia="en-GB"/>
        </w:rPr>
        <w:t xml:space="preserve"> collocated rather close</w:t>
      </w:r>
      <w:r w:rsidR="008D28E8" w:rsidRPr="002A6BA8">
        <w:rPr>
          <w:lang w:eastAsia="en-GB"/>
        </w:rPr>
        <w:t xml:space="preserve"> </w:t>
      </w:r>
      <w:r w:rsidR="00DC0CAB" w:rsidRPr="002A6BA8">
        <w:rPr>
          <w:lang w:eastAsia="en-GB"/>
        </w:rPr>
        <w:t>to the MAPbI</w:t>
      </w:r>
      <w:r w:rsidR="00DC0CAB" w:rsidRPr="002A6BA8">
        <w:rPr>
          <w:vertAlign w:val="subscript"/>
          <w:lang w:eastAsia="en-GB"/>
        </w:rPr>
        <w:t>3</w:t>
      </w:r>
      <w:r w:rsidR="00DC0CAB" w:rsidRPr="002A6BA8">
        <w:rPr>
          <w:lang w:eastAsia="en-GB"/>
        </w:rPr>
        <w:t xml:space="preserve"> conduction band</w:t>
      </w:r>
      <w:r w:rsidR="009D5988" w:rsidRPr="002A6BA8">
        <w:rPr>
          <w:lang w:eastAsia="en-GB"/>
        </w:rPr>
        <w:t xml:space="preserve"> </w:t>
      </w:r>
      <w:r w:rsidR="00331BAE" w:rsidRPr="002A6BA8">
        <w:rPr>
          <w:lang w:eastAsia="en-GB"/>
        </w:rPr>
        <w:fldChar w:fldCharType="begin"/>
      </w:r>
      <w:r w:rsidR="00331BAE" w:rsidRPr="002A6BA8">
        <w:rPr>
          <w:lang w:eastAsia="en-GB"/>
        </w:rPr>
        <w:instrText xml:space="preserve"> ADDIN ZOTERO_ITEM CSL_CITATION {"citationID":"1v1l74i78o","properties":{"formattedCitation":"{\\rtf \\super [45]\\nosupersub{}}","plainCitation":"[45]"},"citationItems":[{"id":1059,"uris":["http://zotero.org/users/local/6uiBC8Ma/items/JI5R5HK9"],"uri":["http://zotero.org/users/local/6uiBC8Ma/items/JI5R5HK9"],"itemData":{"id":1059,"type":"article-journal","title":"Research Update: The electronic structure of hybrid perovskite layers and their energetic alignment in devices","container-title":"APL Materials","page":"091502","volume":"4","issue":"9","source":"aip.scitation.org (Atypon)","DOI":"10.1063/1.4960112","shortTitle":"Research Update","journalAbbreviation":"APL Materials","author":[{"family":"Olthof","given":"Selina"}],"issued":{"date-parts":[["2016",8,1]]}}}],"schema":"https://github.com/citation-style-language/schema/raw/master/csl-citation.json"} </w:instrText>
      </w:r>
      <w:r w:rsidR="00331BAE" w:rsidRPr="002A6BA8">
        <w:rPr>
          <w:lang w:eastAsia="en-GB"/>
        </w:rPr>
        <w:fldChar w:fldCharType="separate"/>
      </w:r>
      <w:r w:rsidR="00331BAE" w:rsidRPr="002A6BA8">
        <w:rPr>
          <w:vertAlign w:val="superscript"/>
        </w:rPr>
        <w:t>[45]</w:t>
      </w:r>
      <w:r w:rsidR="00331BAE" w:rsidRPr="002A6BA8">
        <w:rPr>
          <w:lang w:eastAsia="en-GB"/>
        </w:rPr>
        <w:fldChar w:fldCharType="end"/>
      </w:r>
      <w:r w:rsidR="009D5988" w:rsidRPr="002A6BA8">
        <w:rPr>
          <w:lang w:eastAsia="en-GB"/>
        </w:rPr>
        <w:t xml:space="preserve">. This </w:t>
      </w:r>
      <w:r w:rsidR="00DC0CAB" w:rsidRPr="002A6BA8">
        <w:rPr>
          <w:lang w:eastAsia="en-GB"/>
        </w:rPr>
        <w:t>suggest</w:t>
      </w:r>
      <w:r w:rsidR="009D5988" w:rsidRPr="002A6BA8">
        <w:rPr>
          <w:lang w:eastAsia="en-GB"/>
        </w:rPr>
        <w:t xml:space="preserve">s </w:t>
      </w:r>
      <w:r w:rsidR="00DC0CAB" w:rsidRPr="003E70B7">
        <w:rPr>
          <w:color w:val="FF0000"/>
          <w:lang w:eastAsia="en-GB"/>
        </w:rPr>
        <w:t>th</w:t>
      </w:r>
      <w:r w:rsidR="003E70B7" w:rsidRPr="003E70B7">
        <w:rPr>
          <w:color w:val="FF0000"/>
          <w:lang w:eastAsia="en-GB"/>
        </w:rPr>
        <w:t xml:space="preserve">e hyphotesis </w:t>
      </w:r>
      <w:r w:rsidR="003E70B7">
        <w:rPr>
          <w:lang w:eastAsia="en-GB"/>
        </w:rPr>
        <w:t>th</w:t>
      </w:r>
      <w:r w:rsidR="00DC0CAB" w:rsidRPr="002A6BA8">
        <w:rPr>
          <w:lang w:eastAsia="en-GB"/>
        </w:rPr>
        <w:t>at</w:t>
      </w:r>
      <w:r w:rsidR="00D63FDC" w:rsidRPr="002A6BA8">
        <w:rPr>
          <w:lang w:eastAsia="en-GB"/>
        </w:rPr>
        <w:t>,</w:t>
      </w:r>
      <w:r w:rsidR="00DC0CAB" w:rsidRPr="002A6BA8">
        <w:rPr>
          <w:lang w:eastAsia="en-GB"/>
        </w:rPr>
        <w:t xml:space="preserve"> while electrons transferred to C</w:t>
      </w:r>
      <w:r w:rsidR="00DC0CAB" w:rsidRPr="002A6BA8">
        <w:rPr>
          <w:vertAlign w:val="subscript"/>
          <w:lang w:eastAsia="en-GB"/>
        </w:rPr>
        <w:t>70</w:t>
      </w:r>
      <w:r w:rsidR="00DC0CAB" w:rsidRPr="002A6BA8">
        <w:rPr>
          <w:lang w:eastAsia="en-GB"/>
        </w:rPr>
        <w:t xml:space="preserve"> in contact with the ETL can be efficiently collected</w:t>
      </w:r>
      <w:r w:rsidR="00D63FDC" w:rsidRPr="002A6BA8">
        <w:rPr>
          <w:lang w:eastAsia="en-GB"/>
        </w:rPr>
        <w:t>,</w:t>
      </w:r>
      <w:r w:rsidR="00DC0CAB" w:rsidRPr="002A6BA8">
        <w:rPr>
          <w:lang w:eastAsia="en-GB"/>
        </w:rPr>
        <w:t xml:space="preserve"> </w:t>
      </w:r>
      <w:r w:rsidR="009D5988" w:rsidRPr="002A6BA8">
        <w:rPr>
          <w:lang w:eastAsia="en-GB"/>
        </w:rPr>
        <w:t>those captured by C</w:t>
      </w:r>
      <w:r w:rsidR="009D5988" w:rsidRPr="002A6BA8">
        <w:rPr>
          <w:vertAlign w:val="subscript"/>
          <w:lang w:eastAsia="en-GB"/>
        </w:rPr>
        <w:t xml:space="preserve">70 </w:t>
      </w:r>
      <w:r w:rsidR="009D5988" w:rsidRPr="002A6BA8">
        <w:rPr>
          <w:lang w:eastAsia="en-GB"/>
        </w:rPr>
        <w:t xml:space="preserve">dispersed in </w:t>
      </w:r>
      <w:r w:rsidR="00DC0CAB" w:rsidRPr="002A6BA8">
        <w:rPr>
          <w:lang w:eastAsia="en-GB"/>
        </w:rPr>
        <w:t>the perovskite bulk can bounce back to the perovskite, ensuring an efficient charge transport.</w:t>
      </w:r>
      <w:r w:rsidR="00A35AA7" w:rsidRPr="002A6BA8">
        <w:rPr>
          <w:lang w:eastAsia="en-GB"/>
        </w:rPr>
        <w:t xml:space="preserve"> </w:t>
      </w:r>
      <w:r w:rsidR="00D965A8" w:rsidRPr="002A6BA8">
        <w:rPr>
          <w:lang w:eastAsia="en-GB"/>
        </w:rPr>
        <w:t>Indeed, given the close energy match with the C</w:t>
      </w:r>
      <w:r w:rsidR="00D965A8" w:rsidRPr="002A6BA8">
        <w:rPr>
          <w:vertAlign w:val="subscript"/>
          <w:lang w:eastAsia="en-GB"/>
        </w:rPr>
        <w:t>70</w:t>
      </w:r>
      <w:r w:rsidR="00D965A8" w:rsidRPr="002A6BA8">
        <w:rPr>
          <w:lang w:eastAsia="en-GB"/>
        </w:rPr>
        <w:t xml:space="preserve"> LUMO and perovskite CB,</w:t>
      </w:r>
      <w:r w:rsidR="00487CC8" w:rsidRPr="002A6BA8">
        <w:rPr>
          <w:lang w:eastAsia="en-GB"/>
        </w:rPr>
        <w:t xml:space="preserve"> </w:t>
      </w:r>
      <w:r w:rsidR="00487CC8" w:rsidRPr="002A6BA8">
        <w:rPr>
          <w:vertAlign w:val="superscript"/>
          <w:lang w:eastAsia="en-GB"/>
        </w:rPr>
        <w:t>45</w:t>
      </w:r>
      <w:r w:rsidR="00D965A8" w:rsidRPr="002A6BA8">
        <w:rPr>
          <w:lang w:eastAsia="en-GB"/>
        </w:rPr>
        <w:t xml:space="preserve"> the electrons will not be deeply trapped and will easily escape, contributing in the device photocurrent. Indeed, as we will show below, it is importnat to notice that the devices doped with C</w:t>
      </w:r>
      <w:r w:rsidR="00D965A8" w:rsidRPr="002A6BA8">
        <w:rPr>
          <w:vertAlign w:val="subscript"/>
          <w:lang w:eastAsia="en-GB"/>
        </w:rPr>
        <w:t xml:space="preserve">70 </w:t>
      </w:r>
      <w:r w:rsidR="00D965A8" w:rsidRPr="002A6BA8">
        <w:rPr>
          <w:lang w:eastAsia="en-GB"/>
        </w:rPr>
        <w:t>outperform in terms of PCE and J</w:t>
      </w:r>
      <w:r w:rsidR="00D965A8" w:rsidRPr="002A6BA8">
        <w:rPr>
          <w:vertAlign w:val="subscript"/>
          <w:lang w:eastAsia="en-GB"/>
        </w:rPr>
        <w:t>SC</w:t>
      </w:r>
      <w:r w:rsidR="00D965A8" w:rsidRPr="002A6BA8">
        <w:rPr>
          <w:lang w:eastAsia="en-GB"/>
        </w:rPr>
        <w:t>, which would be incompatible with the transferred electrons being trapped in the C</w:t>
      </w:r>
      <w:r w:rsidR="00D965A8" w:rsidRPr="002A6BA8">
        <w:rPr>
          <w:vertAlign w:val="subscript"/>
          <w:lang w:eastAsia="en-GB"/>
        </w:rPr>
        <w:t>70</w:t>
      </w:r>
      <w:r w:rsidR="00D965A8" w:rsidRPr="002A6BA8">
        <w:rPr>
          <w:lang w:eastAsia="en-GB"/>
        </w:rPr>
        <w:t xml:space="preserve">, but fully consistent with a weak binding that allows back and forth exchange. </w:t>
      </w:r>
      <w:r w:rsidRPr="002A6BA8">
        <w:rPr>
          <w:lang w:eastAsia="en-GB"/>
        </w:rPr>
        <w:t>To test the effect of C</w:t>
      </w:r>
      <w:r w:rsidRPr="002A6BA8">
        <w:rPr>
          <w:vertAlign w:val="subscript"/>
          <w:lang w:eastAsia="en-GB"/>
        </w:rPr>
        <w:t>70</w:t>
      </w:r>
      <w:r w:rsidRPr="002A6BA8">
        <w:rPr>
          <w:lang w:eastAsia="en-GB"/>
        </w:rPr>
        <w:t xml:space="preserve"> on </w:t>
      </w:r>
      <w:r w:rsidR="004C3FFF" w:rsidRPr="002A6BA8">
        <w:rPr>
          <w:lang w:eastAsia="en-GB"/>
        </w:rPr>
        <w:t>photovoltaic performance,</w:t>
      </w:r>
      <w:r w:rsidRPr="002A6BA8">
        <w:rPr>
          <w:lang w:eastAsia="en-GB"/>
        </w:rPr>
        <w:t xml:space="preserve"> we fabricat</w:t>
      </w:r>
      <w:r w:rsidR="00506D48" w:rsidRPr="002A6BA8">
        <w:rPr>
          <w:lang w:eastAsia="en-GB"/>
        </w:rPr>
        <w:t>e</w:t>
      </w:r>
      <w:r w:rsidRPr="002A6BA8">
        <w:rPr>
          <w:lang w:eastAsia="en-GB"/>
        </w:rPr>
        <w:t xml:space="preserve"> a series of devices (</w:t>
      </w:r>
      <w:r w:rsidRPr="002A6BA8">
        <w:rPr>
          <w:b/>
          <w:lang w:eastAsia="en-GB"/>
        </w:rPr>
        <w:t>Figure 3</w:t>
      </w:r>
      <w:r w:rsidRPr="002A6BA8">
        <w:rPr>
          <w:lang w:eastAsia="en-GB"/>
        </w:rPr>
        <w:t>) using MAPbI</w:t>
      </w:r>
      <w:r w:rsidRPr="002A6BA8">
        <w:rPr>
          <w:vertAlign w:val="subscript"/>
          <w:lang w:eastAsia="en-GB"/>
        </w:rPr>
        <w:t xml:space="preserve">3 </w:t>
      </w:r>
      <w:r w:rsidRPr="002A6BA8">
        <w:rPr>
          <w:lang w:eastAsia="en-GB"/>
        </w:rPr>
        <w:t xml:space="preserve">with and </w:t>
      </w:r>
      <w:r w:rsidR="004C3FFF" w:rsidRPr="002A6BA8">
        <w:rPr>
          <w:lang w:eastAsia="en-GB"/>
        </w:rPr>
        <w:t>without</w:t>
      </w:r>
      <w:r w:rsidRPr="002A6BA8">
        <w:rPr>
          <w:lang w:eastAsia="en-GB"/>
        </w:rPr>
        <w:t xml:space="preserve"> C</w:t>
      </w:r>
      <w:r w:rsidRPr="002A6BA8">
        <w:rPr>
          <w:vertAlign w:val="subscript"/>
          <w:lang w:eastAsia="en-GB"/>
        </w:rPr>
        <w:t>70</w:t>
      </w:r>
      <w:r w:rsidR="007775B4" w:rsidRPr="002A6BA8">
        <w:rPr>
          <w:lang w:eastAsia="en-GB"/>
        </w:rPr>
        <w:t>,</w:t>
      </w:r>
      <w:r w:rsidRPr="002A6BA8">
        <w:rPr>
          <w:lang w:eastAsia="en-GB"/>
        </w:rPr>
        <w:t xml:space="preserve"> considering three different architecture</w:t>
      </w:r>
      <w:r w:rsidR="004C3FFF" w:rsidRPr="002A6BA8">
        <w:rPr>
          <w:lang w:eastAsia="en-GB"/>
        </w:rPr>
        <w:t>s</w:t>
      </w:r>
      <w:r w:rsidR="00506D48" w:rsidRPr="002A6BA8">
        <w:rPr>
          <w:lang w:eastAsia="en-GB"/>
        </w:rPr>
        <w:t xml:space="preserve">. With that aim, the perovskite is </w:t>
      </w:r>
      <w:r w:rsidRPr="002A6BA8">
        <w:rPr>
          <w:lang w:eastAsia="en-GB"/>
        </w:rPr>
        <w:t>sandwiched in between the organic HTM on one side</w:t>
      </w:r>
      <w:r w:rsidR="006B6654" w:rsidRPr="002A6BA8">
        <w:rPr>
          <w:lang w:eastAsia="en-GB"/>
        </w:rPr>
        <w:t xml:space="preserve"> (</w:t>
      </w:r>
      <w:r w:rsidR="00F95157" w:rsidRPr="002A6BA8">
        <w:rPr>
          <w:lang w:eastAsia="en-GB"/>
        </w:rPr>
        <w:t>s</w:t>
      </w:r>
      <w:r w:rsidR="006B6654" w:rsidRPr="002A6BA8">
        <w:rPr>
          <w:lang w:eastAsia="en-GB"/>
        </w:rPr>
        <w:t>piro-OMeTAD)</w:t>
      </w:r>
      <w:r w:rsidRPr="002A6BA8">
        <w:rPr>
          <w:lang w:eastAsia="en-GB"/>
        </w:rPr>
        <w:t xml:space="preserve">, </w:t>
      </w:r>
      <w:r w:rsidR="00506D48" w:rsidRPr="002A6BA8">
        <w:rPr>
          <w:lang w:eastAsia="en-GB"/>
        </w:rPr>
        <w:t>and</w:t>
      </w:r>
      <w:r w:rsidRPr="002A6BA8">
        <w:rPr>
          <w:lang w:eastAsia="en-GB"/>
        </w:rPr>
        <w:t xml:space="preserve"> either </w:t>
      </w:r>
      <w:r w:rsidR="00506D48" w:rsidRPr="002A6BA8">
        <w:rPr>
          <w:lang w:eastAsia="en-GB"/>
        </w:rPr>
        <w:t xml:space="preserve">the </w:t>
      </w:r>
      <w:r w:rsidRPr="002A6BA8">
        <w:rPr>
          <w:lang w:eastAsia="en-GB"/>
        </w:rPr>
        <w:t>mesoporous-TiO</w:t>
      </w:r>
      <w:r w:rsidRPr="002A6BA8">
        <w:rPr>
          <w:vertAlign w:val="subscript"/>
          <w:lang w:eastAsia="en-GB"/>
        </w:rPr>
        <w:t>2</w:t>
      </w:r>
      <w:r w:rsidRPr="002A6BA8">
        <w:rPr>
          <w:lang w:eastAsia="en-GB"/>
        </w:rPr>
        <w:t xml:space="preserve"> (</w:t>
      </w:r>
      <w:r w:rsidR="00BE4FBD" w:rsidRPr="002A6BA8">
        <w:rPr>
          <w:lang w:eastAsia="en-GB"/>
        </w:rPr>
        <w:t>meso-TiO</w:t>
      </w:r>
      <w:r w:rsidR="00BE4FBD" w:rsidRPr="002A6BA8">
        <w:rPr>
          <w:vertAlign w:val="subscript"/>
          <w:lang w:eastAsia="en-GB"/>
        </w:rPr>
        <w:t>2</w:t>
      </w:r>
      <w:r w:rsidR="00BE4FBD" w:rsidRPr="002A6BA8">
        <w:rPr>
          <w:lang w:eastAsia="en-GB"/>
        </w:rPr>
        <w:t xml:space="preserve">, </w:t>
      </w:r>
      <w:r w:rsidRPr="002A6BA8">
        <w:rPr>
          <w:lang w:eastAsia="en-GB"/>
        </w:rPr>
        <w:t>Figure 3c), compact-TiO</w:t>
      </w:r>
      <w:r w:rsidRPr="002A6BA8">
        <w:rPr>
          <w:vertAlign w:val="subscript"/>
          <w:lang w:eastAsia="en-GB"/>
        </w:rPr>
        <w:t xml:space="preserve">2 </w:t>
      </w:r>
      <w:r w:rsidRPr="002A6BA8">
        <w:rPr>
          <w:lang w:eastAsia="en-GB"/>
        </w:rPr>
        <w:t>(</w:t>
      </w:r>
      <w:r w:rsidR="00BE4FBD" w:rsidRPr="002A6BA8">
        <w:rPr>
          <w:lang w:eastAsia="en-GB"/>
        </w:rPr>
        <w:t>c-TiO</w:t>
      </w:r>
      <w:r w:rsidR="00BE4FBD" w:rsidRPr="002A6BA8">
        <w:rPr>
          <w:vertAlign w:val="subscript"/>
          <w:lang w:eastAsia="en-GB"/>
        </w:rPr>
        <w:t>2</w:t>
      </w:r>
      <w:r w:rsidR="00BE4FBD" w:rsidRPr="002A6BA8">
        <w:rPr>
          <w:lang w:eastAsia="en-GB"/>
        </w:rPr>
        <w:t xml:space="preserve">, </w:t>
      </w:r>
      <w:r w:rsidRPr="002A6BA8">
        <w:rPr>
          <w:lang w:eastAsia="en-GB"/>
        </w:rPr>
        <w:t>Figure 3b) or the conductive FTO glass (</w:t>
      </w:r>
      <w:r w:rsidR="00506D48" w:rsidRPr="002A6BA8">
        <w:rPr>
          <w:lang w:eastAsia="en-GB"/>
        </w:rPr>
        <w:t xml:space="preserve">ETL-free configuration, </w:t>
      </w:r>
      <w:r w:rsidRPr="002A6BA8">
        <w:rPr>
          <w:lang w:eastAsia="en-GB"/>
        </w:rPr>
        <w:t xml:space="preserve">Figure 3a), </w:t>
      </w:r>
      <w:r w:rsidR="00506D48" w:rsidRPr="002A6BA8">
        <w:rPr>
          <w:lang w:eastAsia="en-GB"/>
        </w:rPr>
        <w:t>in the other side</w:t>
      </w:r>
      <w:r w:rsidR="00DC4FE7" w:rsidRPr="002A6BA8">
        <w:rPr>
          <w:lang w:eastAsia="en-GB"/>
        </w:rPr>
        <w:t>,</w:t>
      </w:r>
      <w:r w:rsidRPr="002A6BA8">
        <w:rPr>
          <w:lang w:eastAsia="en-GB"/>
        </w:rPr>
        <w:t xml:space="preserve"> following reported procedures</w:t>
      </w:r>
      <w:r w:rsidR="00CE0F5F" w:rsidRPr="002A6BA8">
        <w:rPr>
          <w:lang w:eastAsia="en-GB"/>
        </w:rPr>
        <w:fldChar w:fldCharType="begin"/>
      </w:r>
      <w:r w:rsidR="00CE0F5F" w:rsidRPr="002A6BA8">
        <w:rPr>
          <w:lang w:eastAsia="en-GB"/>
        </w:rPr>
        <w:instrText xml:space="preserve"> ADDIN ZOTERO_ITEM CSL_CITATION {"citationID":"21i6r3oak9","properties":{"formattedCitation":"{\\rtf \\super [1,6]\\nosupersub{}}","plainCitation":"[1,6]"},"citationItems":[{"id":373,"uris":["http://zotero.org/users/local/6uiBC8Ma/items/U9NQJECH"],"uri":["http://zotero.org/users/local/6uiBC8Ma/items/U9NQJECH"],"itemData":{"id":373,"type":"article-journal","title":"High efficiency methylammonium lead triiodide perovskite solar cells: the relevance of non-stoichiometric precursors","container-title":"Energy &amp; Environmental Science","page":"3550–3556","volume":"8","issue":"12","source":"Google Scholar","shortTitle":"High efficiency methylammonium lead triiodide perovskite solar cells","author":[{"family":"Roldan-Carmona","given":"C."},{"family":"Gratia","given":"P."},{"family":"Zimmermann","given":"I."},{"family":"Grancini","given":"G."},{"family":"Gao","given":"P."},{"family":"Graetzel","given":"Michael"},{"family":"Nazeeruddin","given":"Mohammad Khaja"}],"issued":{"date-parts":[["2015"]]}}},{"id":43,"uris":["http://zotero.org/users/local/6uiBC8Ma/items/QQFBE6VA"],"uri":["http://zotero.org/users/local/6uiBC8Ma/items/QQFBE6VA"],"itemData":{"id":43,"type":"article-journal","title":"Incorporation of rubidium cations into perovskite solar cells improves photovoltaic performance","container-title":"Science","page":"206-209","volume":"354","issue":"6309","source":"science.sciencemag.org","abstract":"Improving the stability of perovskite solar cells\nInorganic-organic perovskite solar cells have poor long-term stability because ultraviolet light and humidity degrade these materials. Bella et al. show that coating the cells with a water-proof fluorinated polymer that contains pigments to absorb ultraviolet light and re-emit it in the visible range can boost cell efficiency and limit photodegradation. The performance and stability of inorganic-organic perovskite solar cells are also limited by the size of the cations required for forming a correct lattice. Saliba et al. show that the rubidium cation, which is too small to form a perovskite by itself, can form a lattice with cesium and organic cations. Solar cells based on these materials have efficiencies exceeding 20% for over 500 hours if given environmental protection by a polymer coating.\nScience, this issue pp. 203 and 206\nAll of the cations currently used in perovskite solar cells abide by the tolerance factor for incorporation into the lattice. We show that the small and oxidation-stable rubidium cation (Rb+) can be embedded into a “cation cascade” to create perovskite materials with excellent material properties. We achieved stabilized efficiencies of up to 21.6% (average value, 20.2%) on small areas (and a stabilized 19.0% on a cell 0.5 square centimeters in area) as well as an electroluminescence of 3.8%. The open-circuit voltage of 1.24 volts at a band gap of 1.63 electron volts leads to a loss in potential of 0.39 volts, versus 0.4 volts for commercial silicon cells. Polymer-coated cells maintained 95% of their initial performance at 85°C for 500 hours under full illumination and maximum power point tracking.\nThe seemingly too small rubidium cation was successfully integrated into perovskite solar cells.\nThe seemingly too small rubidium cation was successfully integrated into perovskite solar cells.","DOI":"10.1126/science.aah5557","ISSN":"0036-8075, 1095-9203","note":"PMID: 27708053","language":"en","author":[{"family":"Saliba","given":"Michael"},{"family":"Matsui","given":"Taisuke"},{"family":"Domanski","given":"Konrad"},{"family":"Seo","given":"Ji-Youn"},{"family":"Ummadisingu","given":"Amita"},{"family":"Zakeeruddin","given":"Shaik M."},{"family":"Correa-Baena","given":"Juan-Pablo"},{"family":"Tress","given":"Wolfgang R."},{"family":"Abate","given":"Antonio"},{"family":"Hagfeldt","given":"Anders"},{"family":"Grätzel","given":"Michael"}],"issued":{"date-parts":[["2016",10,14]]},"PMID":"27708053"}}],"schema":"https://github.com/citation-style-language/schema/raw/master/csl-citation.json"} </w:instrText>
      </w:r>
      <w:r w:rsidR="00CE0F5F" w:rsidRPr="002A6BA8">
        <w:rPr>
          <w:lang w:eastAsia="en-GB"/>
        </w:rPr>
        <w:fldChar w:fldCharType="separate"/>
      </w:r>
      <w:r w:rsidR="00CE0F5F" w:rsidRPr="002A6BA8">
        <w:rPr>
          <w:vertAlign w:val="superscript"/>
        </w:rPr>
        <w:t>[1,6]</w:t>
      </w:r>
      <w:r w:rsidR="00CE0F5F" w:rsidRPr="002A6BA8">
        <w:rPr>
          <w:lang w:eastAsia="en-GB"/>
        </w:rPr>
        <w:fldChar w:fldCharType="end"/>
      </w:r>
      <w:r w:rsidRPr="002A6BA8">
        <w:rPr>
          <w:lang w:eastAsia="en-GB"/>
        </w:rPr>
        <w:t xml:space="preserve">. We carefully control the deposition in order to produce films with </w:t>
      </w:r>
      <w:r w:rsidRPr="002A6BA8">
        <w:rPr>
          <w:lang w:eastAsia="en-GB"/>
        </w:rPr>
        <w:lastRenderedPageBreak/>
        <w:t>similar thickness in all case</w:t>
      </w:r>
      <w:r w:rsidR="004C3FFF" w:rsidRPr="002A6BA8">
        <w:rPr>
          <w:lang w:eastAsia="en-GB"/>
        </w:rPr>
        <w:t>s</w:t>
      </w:r>
      <w:r w:rsidRPr="002A6BA8">
        <w:rPr>
          <w:lang w:eastAsia="en-GB"/>
        </w:rPr>
        <w:t xml:space="preserve"> (see also the absorption spectra and SEM in Figure</w:t>
      </w:r>
      <w:r w:rsidR="00AB5151" w:rsidRPr="002A6BA8">
        <w:rPr>
          <w:lang w:eastAsia="en-GB"/>
        </w:rPr>
        <w:t>s S1, S2</w:t>
      </w:r>
      <w:r w:rsidRPr="002A6BA8">
        <w:rPr>
          <w:lang w:eastAsia="en-GB"/>
        </w:rPr>
        <w:t xml:space="preserve">). </w:t>
      </w:r>
      <w:r w:rsidR="006B6654" w:rsidRPr="002A6BA8">
        <w:rPr>
          <w:lang w:eastAsia="en-GB"/>
        </w:rPr>
        <w:t>Noteworthy</w:t>
      </w:r>
      <w:r w:rsidR="006F359D" w:rsidRPr="002A6BA8">
        <w:rPr>
          <w:lang w:eastAsia="en-GB"/>
        </w:rPr>
        <w:t>, t</w:t>
      </w:r>
      <w:r w:rsidRPr="002A6BA8">
        <w:rPr>
          <w:lang w:eastAsia="en-GB"/>
        </w:rPr>
        <w:t>he ETL</w:t>
      </w:r>
      <w:r w:rsidR="004C3FFF" w:rsidRPr="002A6BA8">
        <w:rPr>
          <w:lang w:eastAsia="en-GB"/>
        </w:rPr>
        <w:t>-</w:t>
      </w:r>
      <w:r w:rsidRPr="002A6BA8">
        <w:rPr>
          <w:lang w:eastAsia="en-GB"/>
        </w:rPr>
        <w:t>free device using MAPbI</w:t>
      </w:r>
      <w:r w:rsidRPr="002A6BA8">
        <w:rPr>
          <w:vertAlign w:val="subscript"/>
          <w:lang w:eastAsia="en-GB"/>
        </w:rPr>
        <w:t>3</w:t>
      </w:r>
      <w:r w:rsidRPr="002A6BA8">
        <w:rPr>
          <w:lang w:eastAsia="en-GB"/>
        </w:rPr>
        <w:t>:C</w:t>
      </w:r>
      <w:r w:rsidRPr="002A6BA8">
        <w:rPr>
          <w:vertAlign w:val="subscript"/>
          <w:lang w:eastAsia="en-GB"/>
        </w:rPr>
        <w:t>70</w:t>
      </w:r>
      <w:r w:rsidRPr="002A6BA8">
        <w:rPr>
          <w:lang w:eastAsia="en-GB"/>
        </w:rPr>
        <w:t xml:space="preserve"> blend exhibits an improved </w:t>
      </w:r>
      <w:r w:rsidR="008C506D" w:rsidRPr="002A6BA8">
        <w:rPr>
          <w:i/>
        </w:rPr>
        <w:t>V</w:t>
      </w:r>
      <w:r w:rsidR="00912D6D" w:rsidRPr="002A6BA8">
        <w:rPr>
          <w:i/>
          <w:vertAlign w:val="subscript"/>
        </w:rPr>
        <w:t>OC</w:t>
      </w:r>
      <w:r w:rsidR="00D944B7" w:rsidRPr="002A6BA8">
        <w:rPr>
          <w:i/>
          <w:vertAlign w:val="subscript"/>
          <w:lang w:eastAsia="en-GB"/>
        </w:rPr>
        <w:t xml:space="preserve"> </w:t>
      </w:r>
      <w:r w:rsidRPr="002A6BA8">
        <w:rPr>
          <w:lang w:eastAsia="en-GB"/>
        </w:rPr>
        <w:t>=1.065</w:t>
      </w:r>
      <w:r w:rsidR="009D5988" w:rsidRPr="002A6BA8">
        <w:rPr>
          <w:lang w:eastAsia="en-GB"/>
        </w:rPr>
        <w:t xml:space="preserve"> </w:t>
      </w:r>
      <w:r w:rsidRPr="002A6BA8">
        <w:rPr>
          <w:lang w:eastAsia="en-GB"/>
        </w:rPr>
        <w:t>V (</w:t>
      </w:r>
      <w:r w:rsidR="00BE4FBD" w:rsidRPr="002A6BA8">
        <w:rPr>
          <w:lang w:eastAsia="en-GB"/>
        </w:rPr>
        <w:t xml:space="preserve">as compared to </w:t>
      </w:r>
      <w:r w:rsidRPr="002A6BA8">
        <w:rPr>
          <w:lang w:eastAsia="en-GB"/>
        </w:rPr>
        <w:t xml:space="preserve">1.045V </w:t>
      </w:r>
      <w:r w:rsidR="00BE4FBD" w:rsidRPr="002A6BA8">
        <w:rPr>
          <w:lang w:eastAsia="en-GB"/>
        </w:rPr>
        <w:t>without</w:t>
      </w:r>
      <w:r w:rsidRPr="002A6BA8">
        <w:rPr>
          <w:lang w:eastAsia="en-GB"/>
        </w:rPr>
        <w:t xml:space="preserve"> C</w:t>
      </w:r>
      <w:r w:rsidRPr="002A6BA8">
        <w:rPr>
          <w:vertAlign w:val="subscript"/>
          <w:lang w:eastAsia="en-GB"/>
        </w:rPr>
        <w:t>70</w:t>
      </w:r>
      <w:r w:rsidRPr="002A6BA8">
        <w:rPr>
          <w:lang w:eastAsia="en-GB"/>
        </w:rPr>
        <w:t xml:space="preserve">), comparable short-circuit current </w:t>
      </w:r>
      <w:r w:rsidRPr="002A6BA8">
        <w:rPr>
          <w:i/>
          <w:lang w:eastAsia="en-GB"/>
        </w:rPr>
        <w:t>J</w:t>
      </w:r>
      <w:r w:rsidRPr="002A6BA8">
        <w:rPr>
          <w:i/>
          <w:vertAlign w:val="subscript"/>
          <w:lang w:eastAsia="en-GB"/>
        </w:rPr>
        <w:t>SC</w:t>
      </w:r>
      <w:r w:rsidR="00D944B7" w:rsidRPr="002A6BA8">
        <w:rPr>
          <w:i/>
          <w:vertAlign w:val="subscript"/>
          <w:lang w:eastAsia="en-GB"/>
        </w:rPr>
        <w:t xml:space="preserve"> </w:t>
      </w:r>
      <w:r w:rsidRPr="002A6BA8">
        <w:rPr>
          <w:lang w:eastAsia="en-GB"/>
        </w:rPr>
        <w:t>=20.44</w:t>
      </w:r>
      <w:r w:rsidR="009D5988" w:rsidRPr="002A6BA8">
        <w:rPr>
          <w:lang w:eastAsia="en-GB"/>
        </w:rPr>
        <w:t xml:space="preserve"> </w:t>
      </w:r>
      <w:r w:rsidRPr="002A6BA8">
        <w:rPr>
          <w:lang w:eastAsia="en-GB"/>
        </w:rPr>
        <w:t>mAcm</w:t>
      </w:r>
      <w:r w:rsidRPr="002A6BA8">
        <w:rPr>
          <w:vertAlign w:val="superscript"/>
          <w:lang w:eastAsia="en-GB"/>
        </w:rPr>
        <w:t>-2</w:t>
      </w:r>
      <w:r w:rsidRPr="002A6BA8">
        <w:rPr>
          <w:lang w:eastAsia="en-GB"/>
        </w:rPr>
        <w:t xml:space="preserve">, </w:t>
      </w:r>
      <w:r w:rsidR="006F359D" w:rsidRPr="002A6BA8">
        <w:rPr>
          <w:lang w:eastAsia="en-GB"/>
        </w:rPr>
        <w:t xml:space="preserve">and </w:t>
      </w:r>
      <w:r w:rsidRPr="002A6BA8">
        <w:rPr>
          <w:lang w:eastAsia="en-GB"/>
        </w:rPr>
        <w:t>en</w:t>
      </w:r>
      <w:r w:rsidR="00BE4FBD" w:rsidRPr="002A6BA8">
        <w:rPr>
          <w:lang w:eastAsia="en-GB"/>
        </w:rPr>
        <w:t>h</w:t>
      </w:r>
      <w:r w:rsidRPr="002A6BA8">
        <w:rPr>
          <w:lang w:eastAsia="en-GB"/>
        </w:rPr>
        <w:t>anced fill factor FF=0.72 (</w:t>
      </w:r>
      <w:r w:rsidR="00BE4FBD" w:rsidRPr="002A6BA8">
        <w:rPr>
          <w:lang w:eastAsia="en-GB"/>
        </w:rPr>
        <w:t xml:space="preserve">as compared to </w:t>
      </w:r>
      <w:r w:rsidRPr="002A6BA8">
        <w:rPr>
          <w:lang w:eastAsia="en-GB"/>
        </w:rPr>
        <w:t xml:space="preserve">0.67 </w:t>
      </w:r>
      <w:r w:rsidR="00BE4FBD" w:rsidRPr="002A6BA8">
        <w:rPr>
          <w:lang w:eastAsia="en-GB"/>
        </w:rPr>
        <w:t>without</w:t>
      </w:r>
      <w:r w:rsidRPr="002A6BA8">
        <w:rPr>
          <w:lang w:eastAsia="en-GB"/>
        </w:rPr>
        <w:t xml:space="preserve"> C</w:t>
      </w:r>
      <w:r w:rsidRPr="002A6BA8">
        <w:rPr>
          <w:vertAlign w:val="subscript"/>
          <w:lang w:eastAsia="en-GB"/>
        </w:rPr>
        <w:t>70</w:t>
      </w:r>
      <w:r w:rsidRPr="002A6BA8">
        <w:rPr>
          <w:lang w:eastAsia="en-GB"/>
        </w:rPr>
        <w:t>)</w:t>
      </w:r>
      <w:r w:rsidR="00D944B7" w:rsidRPr="002A6BA8">
        <w:rPr>
          <w:lang w:eastAsia="en-GB"/>
        </w:rPr>
        <w:t xml:space="preserve"> </w:t>
      </w:r>
      <w:r w:rsidRPr="002A6BA8">
        <w:rPr>
          <w:lang w:eastAsia="en-GB"/>
        </w:rPr>
        <w:t>resulting in an</w:t>
      </w:r>
      <w:r w:rsidR="00BE4FBD" w:rsidRPr="002A6BA8">
        <w:rPr>
          <w:lang w:eastAsia="en-GB"/>
        </w:rPr>
        <w:t xml:space="preserve"> overall</w:t>
      </w:r>
      <w:r w:rsidRPr="002A6BA8">
        <w:rPr>
          <w:lang w:eastAsia="en-GB"/>
        </w:rPr>
        <w:t xml:space="preserve"> improved PCE of 15.7% (</w:t>
      </w:r>
      <w:r w:rsidR="00BE4FBD" w:rsidRPr="002A6BA8">
        <w:rPr>
          <w:lang w:eastAsia="en-GB"/>
        </w:rPr>
        <w:t xml:space="preserve">as compared to </w:t>
      </w:r>
      <w:r w:rsidRPr="002A6BA8">
        <w:rPr>
          <w:lang w:eastAsia="en-GB"/>
        </w:rPr>
        <w:t xml:space="preserve">14.65% </w:t>
      </w:r>
      <w:r w:rsidR="00BE4FBD" w:rsidRPr="002A6BA8">
        <w:rPr>
          <w:lang w:eastAsia="en-GB"/>
        </w:rPr>
        <w:t>without</w:t>
      </w:r>
      <w:r w:rsidRPr="002A6BA8">
        <w:rPr>
          <w:lang w:eastAsia="en-GB"/>
        </w:rPr>
        <w:t xml:space="preserve"> C</w:t>
      </w:r>
      <w:r w:rsidRPr="002A6BA8">
        <w:rPr>
          <w:vertAlign w:val="subscript"/>
          <w:lang w:eastAsia="en-GB"/>
        </w:rPr>
        <w:t>70</w:t>
      </w:r>
      <w:r w:rsidRPr="002A6BA8">
        <w:rPr>
          <w:lang w:eastAsia="en-GB"/>
        </w:rPr>
        <w:t xml:space="preserve">). </w:t>
      </w:r>
      <w:r w:rsidR="00C63C64" w:rsidRPr="002A6BA8">
        <w:rPr>
          <w:lang w:eastAsia="en-GB"/>
        </w:rPr>
        <w:t xml:space="preserve">See Table I for device parameters. </w:t>
      </w:r>
      <w:r w:rsidRPr="002A6BA8">
        <w:rPr>
          <w:lang w:eastAsia="en-GB"/>
        </w:rPr>
        <w:t>The current-voltage (</w:t>
      </w:r>
      <w:r w:rsidRPr="002A6BA8">
        <w:rPr>
          <w:i/>
          <w:lang w:eastAsia="en-GB"/>
        </w:rPr>
        <w:t>J-V</w:t>
      </w:r>
      <w:r w:rsidRPr="002A6BA8">
        <w:rPr>
          <w:lang w:eastAsia="en-GB"/>
        </w:rPr>
        <w:t>) characteristic</w:t>
      </w:r>
      <w:r w:rsidR="00BE4FBD" w:rsidRPr="002A6BA8">
        <w:rPr>
          <w:lang w:eastAsia="en-GB"/>
        </w:rPr>
        <w:t>s</w:t>
      </w:r>
      <w:r w:rsidRPr="002A6BA8">
        <w:rPr>
          <w:lang w:eastAsia="en-GB"/>
        </w:rPr>
        <w:t xml:space="preserve"> is reported in Figure 3d. </w:t>
      </w:r>
      <w:r w:rsidR="00331BAE" w:rsidRPr="002A6BA8">
        <w:rPr>
          <w:lang w:eastAsia="en-GB"/>
        </w:rPr>
        <w:t>To our knowledge, this is t</w:t>
      </w:r>
      <w:r w:rsidRPr="002A6BA8">
        <w:rPr>
          <w:lang w:eastAsia="en-GB"/>
        </w:rPr>
        <w:t xml:space="preserve">he highest value of PCE reported for </w:t>
      </w:r>
      <w:r w:rsidR="006B0060" w:rsidRPr="002A6BA8">
        <w:rPr>
          <w:lang w:eastAsia="en-GB"/>
        </w:rPr>
        <w:t xml:space="preserve">an </w:t>
      </w:r>
      <w:r w:rsidRPr="002A6BA8">
        <w:rPr>
          <w:lang w:eastAsia="en-GB"/>
        </w:rPr>
        <w:t>ETL-free perovskite device</w:t>
      </w:r>
      <w:r w:rsidR="007210B1" w:rsidRPr="002A6BA8">
        <w:rPr>
          <w:lang w:eastAsia="en-GB"/>
        </w:rPr>
        <w:t xml:space="preserve"> (device statistics is represented in Figure </w:t>
      </w:r>
      <w:r w:rsidR="00824545" w:rsidRPr="002A6BA8">
        <w:rPr>
          <w:lang w:eastAsia="en-GB"/>
        </w:rPr>
        <w:t>S8</w:t>
      </w:r>
      <w:r w:rsidR="007210B1" w:rsidRPr="002A6BA8">
        <w:rPr>
          <w:lang w:eastAsia="en-GB"/>
        </w:rPr>
        <w:t>)</w:t>
      </w:r>
      <w:r w:rsidRPr="002A6BA8">
        <w:rPr>
          <w:lang w:eastAsia="en-GB"/>
        </w:rPr>
        <w:t xml:space="preserve">. </w:t>
      </w:r>
      <w:r w:rsidR="00331BAE" w:rsidRPr="002A6BA8">
        <w:rPr>
          <w:lang w:eastAsia="en-GB"/>
        </w:rPr>
        <w:t xml:space="preserve">A similar trend, i.e., an improvement of the </w:t>
      </w:r>
      <w:r w:rsidR="008C506D" w:rsidRPr="002A6BA8">
        <w:rPr>
          <w:i/>
        </w:rPr>
        <w:t>V</w:t>
      </w:r>
      <w:r w:rsidR="00912D6D" w:rsidRPr="002A6BA8">
        <w:rPr>
          <w:i/>
          <w:vertAlign w:val="subscript"/>
        </w:rPr>
        <w:t>OC</w:t>
      </w:r>
      <w:r w:rsidR="00331BAE" w:rsidRPr="002A6BA8">
        <w:rPr>
          <w:lang w:eastAsia="en-GB"/>
        </w:rPr>
        <w:t>, is also observed for c-TiO</w:t>
      </w:r>
      <w:r w:rsidR="00331BAE" w:rsidRPr="002A6BA8">
        <w:rPr>
          <w:vertAlign w:val="subscript"/>
          <w:lang w:eastAsia="en-GB"/>
        </w:rPr>
        <w:t>2</w:t>
      </w:r>
      <w:r w:rsidR="00331BAE" w:rsidRPr="002A6BA8">
        <w:rPr>
          <w:lang w:eastAsia="en-GB"/>
        </w:rPr>
        <w:t xml:space="preserve"> or meso-TiO</w:t>
      </w:r>
      <w:r w:rsidR="00331BAE" w:rsidRPr="002A6BA8">
        <w:rPr>
          <w:vertAlign w:val="subscript"/>
          <w:lang w:eastAsia="en-GB"/>
        </w:rPr>
        <w:t>2</w:t>
      </w:r>
      <w:r w:rsidR="00331BAE" w:rsidRPr="002A6BA8">
        <w:rPr>
          <w:lang w:eastAsia="en-GB"/>
        </w:rPr>
        <w:t xml:space="preserve"> configurations, showing that the benefical effect of C</w:t>
      </w:r>
      <w:r w:rsidR="00331BAE" w:rsidRPr="002A6BA8">
        <w:rPr>
          <w:vertAlign w:val="subscript"/>
          <w:lang w:eastAsia="en-GB"/>
        </w:rPr>
        <w:t>70</w:t>
      </w:r>
      <w:r w:rsidR="00331BAE" w:rsidRPr="002A6BA8">
        <w:rPr>
          <w:lang w:eastAsia="en-GB"/>
        </w:rPr>
        <w:t xml:space="preserve"> is robust to device architectures</w:t>
      </w:r>
      <w:r w:rsidR="00F56844" w:rsidRPr="002A6BA8">
        <w:rPr>
          <w:lang w:eastAsia="en-GB"/>
        </w:rPr>
        <w:t>. See</w:t>
      </w:r>
      <w:r w:rsidR="00331BAE" w:rsidRPr="002A6BA8">
        <w:rPr>
          <w:lang w:eastAsia="en-GB"/>
        </w:rPr>
        <w:t xml:space="preserve"> </w:t>
      </w:r>
      <w:r w:rsidR="00A9030A" w:rsidRPr="002A6BA8">
        <w:rPr>
          <w:lang w:eastAsia="en-GB"/>
        </w:rPr>
        <w:t xml:space="preserve">the results from a Gaussian </w:t>
      </w:r>
      <w:r w:rsidR="00331BAE" w:rsidRPr="002A6BA8">
        <w:rPr>
          <w:lang w:eastAsia="en-GB"/>
        </w:rPr>
        <w:t>device statistics</w:t>
      </w:r>
      <w:r w:rsidR="00F56844" w:rsidRPr="002A6BA8">
        <w:rPr>
          <w:lang w:eastAsia="en-GB"/>
        </w:rPr>
        <w:t xml:space="preserve"> and the </w:t>
      </w:r>
      <w:r w:rsidR="00F56844" w:rsidRPr="002A6BA8">
        <w:rPr>
          <w:shd w:val="clear" w:color="auto" w:fill="FFFFFF"/>
          <w:lang w:val="en-US"/>
        </w:rPr>
        <w:t>standard deviation of the mean, and the p value of a one-way ANOVA analysis reported for each case for the solar cell parameters (V</w:t>
      </w:r>
      <w:r w:rsidR="00F56844" w:rsidRPr="002A6BA8">
        <w:rPr>
          <w:shd w:val="clear" w:color="auto" w:fill="FFFFFF"/>
          <w:vertAlign w:val="subscript"/>
          <w:lang w:val="en-US"/>
        </w:rPr>
        <w:t>OC</w:t>
      </w:r>
      <w:r w:rsidR="00F56844" w:rsidRPr="002A6BA8">
        <w:rPr>
          <w:shd w:val="clear" w:color="auto" w:fill="FFFFFF"/>
          <w:lang w:val="en-US"/>
        </w:rPr>
        <w:t>, FF, J</w:t>
      </w:r>
      <w:r w:rsidR="00F56844" w:rsidRPr="002A6BA8">
        <w:rPr>
          <w:shd w:val="clear" w:color="auto" w:fill="FFFFFF"/>
          <w:vertAlign w:val="subscript"/>
          <w:lang w:val="en-US"/>
        </w:rPr>
        <w:t>SC</w:t>
      </w:r>
      <w:r w:rsidR="00F56844" w:rsidRPr="002A6BA8">
        <w:rPr>
          <w:shd w:val="clear" w:color="auto" w:fill="FFFFFF"/>
          <w:lang w:val="en-US"/>
        </w:rPr>
        <w:t>, PCE)</w:t>
      </w:r>
      <w:r w:rsidR="00331BAE" w:rsidRPr="002A6BA8">
        <w:rPr>
          <w:lang w:eastAsia="en-GB"/>
        </w:rPr>
        <w:t xml:space="preserve"> in Figure</w:t>
      </w:r>
      <w:r w:rsidR="00F56844" w:rsidRPr="002A6BA8">
        <w:rPr>
          <w:lang w:eastAsia="en-GB"/>
        </w:rPr>
        <w:t>s</w:t>
      </w:r>
      <w:r w:rsidR="00331BAE" w:rsidRPr="002A6BA8">
        <w:rPr>
          <w:lang w:eastAsia="en-GB"/>
        </w:rPr>
        <w:t xml:space="preserve"> S</w:t>
      </w:r>
      <w:r w:rsidR="00F56844" w:rsidRPr="002A6BA8">
        <w:rPr>
          <w:lang w:eastAsia="en-GB"/>
        </w:rPr>
        <w:t>9-S1</w:t>
      </w:r>
      <w:r w:rsidR="000663F4" w:rsidRPr="002A6BA8">
        <w:rPr>
          <w:lang w:eastAsia="en-GB"/>
        </w:rPr>
        <w:t>2</w:t>
      </w:r>
      <w:r w:rsidR="00F56844" w:rsidRPr="002A6BA8">
        <w:rPr>
          <w:lang w:eastAsia="en-GB"/>
        </w:rPr>
        <w:t>. Device parameters are listed in Table S1-S</w:t>
      </w:r>
      <w:r w:rsidR="00487CC8" w:rsidRPr="002A6BA8">
        <w:rPr>
          <w:lang w:eastAsia="en-GB"/>
        </w:rPr>
        <w:t>6</w:t>
      </w:r>
      <w:r w:rsidR="00331BAE" w:rsidRPr="002A6BA8">
        <w:rPr>
          <w:lang w:eastAsia="en-GB"/>
        </w:rPr>
        <w:t xml:space="preserve">. </w:t>
      </w:r>
      <w:r w:rsidR="00F95BAF" w:rsidRPr="002A6BA8">
        <w:rPr>
          <w:lang w:eastAsia="en-GB"/>
        </w:rPr>
        <w:t xml:space="preserve">We </w:t>
      </w:r>
      <w:r w:rsidR="00BE4FBD" w:rsidRPr="002A6BA8">
        <w:rPr>
          <w:lang w:eastAsia="en-GB"/>
        </w:rPr>
        <w:t>ascribe</w:t>
      </w:r>
      <w:r w:rsidR="00F95BAF" w:rsidRPr="002A6BA8">
        <w:rPr>
          <w:lang w:eastAsia="en-GB"/>
        </w:rPr>
        <w:t xml:space="preserve"> this improvement</w:t>
      </w:r>
      <w:r w:rsidR="00BE4FBD" w:rsidRPr="002A6BA8">
        <w:rPr>
          <w:lang w:eastAsia="en-GB"/>
        </w:rPr>
        <w:t xml:space="preserve"> </w:t>
      </w:r>
      <w:r w:rsidRPr="002A6BA8">
        <w:rPr>
          <w:lang w:eastAsia="en-GB"/>
        </w:rPr>
        <w:t xml:space="preserve">to a double beneficial effect </w:t>
      </w:r>
      <w:r w:rsidR="00AE13FA" w:rsidRPr="002A6BA8">
        <w:rPr>
          <w:lang w:eastAsia="en-GB"/>
        </w:rPr>
        <w:t xml:space="preserve">facilitated by </w:t>
      </w:r>
      <w:r w:rsidRPr="002A6BA8">
        <w:rPr>
          <w:lang w:eastAsia="en-GB"/>
        </w:rPr>
        <w:t>the C</w:t>
      </w:r>
      <w:r w:rsidRPr="002A6BA8">
        <w:rPr>
          <w:vertAlign w:val="subscript"/>
          <w:lang w:eastAsia="en-GB"/>
        </w:rPr>
        <w:t>70</w:t>
      </w:r>
      <w:r w:rsidR="00C9004F" w:rsidRPr="002A6BA8">
        <w:rPr>
          <w:lang w:eastAsia="en-GB"/>
        </w:rPr>
        <w:t>,</w:t>
      </w:r>
      <w:r w:rsidRPr="002A6BA8">
        <w:rPr>
          <w:lang w:eastAsia="en-GB"/>
        </w:rPr>
        <w:t xml:space="preserve"> assisting the growth of a more uniform perovskite morphol</w:t>
      </w:r>
      <w:r w:rsidR="009D5988" w:rsidRPr="002A6BA8">
        <w:rPr>
          <w:lang w:eastAsia="en-GB"/>
        </w:rPr>
        <w:t xml:space="preserve">ogy, as well as passivating </w:t>
      </w:r>
      <w:r w:rsidRPr="002A6BA8">
        <w:rPr>
          <w:lang w:eastAsia="en-GB"/>
        </w:rPr>
        <w:t>electron traps. On the other side, irre</w:t>
      </w:r>
      <w:r w:rsidR="00BE4FBD" w:rsidRPr="002A6BA8">
        <w:rPr>
          <w:lang w:eastAsia="en-GB"/>
        </w:rPr>
        <w:t>s</w:t>
      </w:r>
      <w:r w:rsidRPr="002A6BA8">
        <w:rPr>
          <w:lang w:eastAsia="en-GB"/>
        </w:rPr>
        <w:t>pective of the presence of the T</w:t>
      </w:r>
      <w:r w:rsidR="00BE4FBD" w:rsidRPr="002A6BA8">
        <w:rPr>
          <w:lang w:eastAsia="en-GB"/>
        </w:rPr>
        <w:t>i</w:t>
      </w:r>
      <w:r w:rsidRPr="002A6BA8">
        <w:rPr>
          <w:lang w:eastAsia="en-GB"/>
        </w:rPr>
        <w:t>O</w:t>
      </w:r>
      <w:r w:rsidRPr="002A6BA8">
        <w:rPr>
          <w:vertAlign w:val="subscript"/>
          <w:lang w:eastAsia="en-GB"/>
        </w:rPr>
        <w:t xml:space="preserve">2 </w:t>
      </w:r>
      <w:r w:rsidRPr="002A6BA8">
        <w:rPr>
          <w:lang w:eastAsia="en-GB"/>
        </w:rPr>
        <w:t>layer</w:t>
      </w:r>
      <w:r w:rsidR="00BE4FBD" w:rsidRPr="002A6BA8">
        <w:rPr>
          <w:lang w:eastAsia="en-GB"/>
        </w:rPr>
        <w:t>,</w:t>
      </w:r>
      <w:r w:rsidRPr="002A6BA8">
        <w:rPr>
          <w:lang w:eastAsia="en-GB"/>
        </w:rPr>
        <w:t xml:space="preserve"> the</w:t>
      </w:r>
      <w:r w:rsidR="00BE4FBD" w:rsidRPr="002A6BA8">
        <w:rPr>
          <w:lang w:eastAsia="en-GB"/>
        </w:rPr>
        <w:t xml:space="preserve"> device</w:t>
      </w:r>
      <w:r w:rsidRPr="002A6BA8">
        <w:rPr>
          <w:lang w:eastAsia="en-GB"/>
        </w:rPr>
        <w:t xml:space="preserve"> photoc</w:t>
      </w:r>
      <w:r w:rsidR="006C45F5" w:rsidRPr="002A6BA8">
        <w:rPr>
          <w:lang w:eastAsia="en-GB"/>
        </w:rPr>
        <w:t>u</w:t>
      </w:r>
      <w:r w:rsidRPr="002A6BA8">
        <w:rPr>
          <w:lang w:eastAsia="en-GB"/>
        </w:rPr>
        <w:t>rrent barely changes. This suggests that</w:t>
      </w:r>
      <w:r w:rsidR="008D28E8" w:rsidRPr="002A6BA8">
        <w:rPr>
          <w:lang w:eastAsia="en-GB"/>
        </w:rPr>
        <w:t xml:space="preserve"> </w:t>
      </w:r>
      <w:r w:rsidRPr="002A6BA8">
        <w:rPr>
          <w:lang w:eastAsia="en-GB"/>
        </w:rPr>
        <w:t>charge injection</w:t>
      </w:r>
      <w:r w:rsidR="008D28E8" w:rsidRPr="002A6BA8">
        <w:rPr>
          <w:lang w:eastAsia="en-GB"/>
        </w:rPr>
        <w:t xml:space="preserve"> in</w:t>
      </w:r>
      <w:r w:rsidRPr="002A6BA8">
        <w:rPr>
          <w:lang w:eastAsia="en-GB"/>
        </w:rPr>
        <w:t xml:space="preserve"> </w:t>
      </w:r>
      <w:r w:rsidR="009D5988" w:rsidRPr="002A6BA8">
        <w:rPr>
          <w:lang w:eastAsia="en-GB"/>
        </w:rPr>
        <w:t xml:space="preserve">the </w:t>
      </w:r>
      <w:r w:rsidRPr="002A6BA8">
        <w:rPr>
          <w:lang w:eastAsia="en-GB"/>
        </w:rPr>
        <w:t xml:space="preserve">fullerene dispersion </w:t>
      </w:r>
      <w:r w:rsidR="009D5988" w:rsidRPr="002A6BA8">
        <w:rPr>
          <w:lang w:eastAsia="en-GB"/>
        </w:rPr>
        <w:t xml:space="preserve">can </w:t>
      </w:r>
      <w:r w:rsidRPr="002A6BA8">
        <w:rPr>
          <w:lang w:eastAsia="en-GB"/>
        </w:rPr>
        <w:t>reduce the electron scattering in the perovskite</w:t>
      </w:r>
      <w:r w:rsidR="009D5988" w:rsidRPr="002A6BA8">
        <w:rPr>
          <w:lang w:eastAsia="en-GB"/>
        </w:rPr>
        <w:t xml:space="preserve"> traps</w:t>
      </w:r>
      <w:r w:rsidRPr="002A6BA8">
        <w:rPr>
          <w:lang w:eastAsia="en-GB"/>
        </w:rPr>
        <w:t xml:space="preserve">, overall improving the device </w:t>
      </w:r>
      <w:r w:rsidR="008C506D" w:rsidRPr="002A6BA8">
        <w:rPr>
          <w:i/>
        </w:rPr>
        <w:t>V</w:t>
      </w:r>
      <w:r w:rsidR="00912D6D" w:rsidRPr="002A6BA8">
        <w:rPr>
          <w:i/>
          <w:vertAlign w:val="subscript"/>
        </w:rPr>
        <w:t>OC</w:t>
      </w:r>
      <w:r w:rsidRPr="002A6BA8">
        <w:rPr>
          <w:lang w:eastAsia="en-GB"/>
        </w:rPr>
        <w:t>. Further details on device performance</w:t>
      </w:r>
      <w:r w:rsidR="00A92783" w:rsidRPr="002A6BA8">
        <w:rPr>
          <w:lang w:eastAsia="en-GB"/>
        </w:rPr>
        <w:t xml:space="preserve"> and measurement conditions</w:t>
      </w:r>
      <w:r w:rsidRPr="002A6BA8">
        <w:rPr>
          <w:lang w:eastAsia="en-GB"/>
        </w:rPr>
        <w:t xml:space="preserve">, i.e. </w:t>
      </w:r>
      <w:r w:rsidRPr="002A6BA8">
        <w:rPr>
          <w:i/>
          <w:lang w:val="en-US" w:eastAsia="en-GB"/>
        </w:rPr>
        <w:t>J-V</w:t>
      </w:r>
      <w:r w:rsidRPr="002A6BA8">
        <w:rPr>
          <w:lang w:val="en-US" w:eastAsia="en-GB"/>
        </w:rPr>
        <w:t xml:space="preserve"> characteristics in forward and back scan direction</w:t>
      </w:r>
      <w:r w:rsidR="00BE4FBD" w:rsidRPr="002A6BA8">
        <w:rPr>
          <w:lang w:val="en-US" w:eastAsia="en-GB"/>
        </w:rPr>
        <w:t>,</w:t>
      </w:r>
      <w:r w:rsidRPr="002A6BA8">
        <w:rPr>
          <w:lang w:val="en-US" w:eastAsia="en-GB"/>
        </w:rPr>
        <w:t xml:space="preserve"> are reported in Figure </w:t>
      </w:r>
      <w:r w:rsidR="00824545" w:rsidRPr="002A6BA8">
        <w:rPr>
          <w:lang w:val="en-US" w:eastAsia="en-GB"/>
        </w:rPr>
        <w:t>S1</w:t>
      </w:r>
      <w:r w:rsidR="000663F4" w:rsidRPr="002A6BA8">
        <w:rPr>
          <w:lang w:val="en-US" w:eastAsia="en-GB"/>
        </w:rPr>
        <w:t>3</w:t>
      </w:r>
      <w:r w:rsidRPr="002A6BA8">
        <w:rPr>
          <w:lang w:val="en-US" w:eastAsia="en-GB"/>
        </w:rPr>
        <w:t>.</w:t>
      </w:r>
      <w:r w:rsidR="00AB5151" w:rsidRPr="002A6BA8">
        <w:rPr>
          <w:lang w:val="en-US" w:eastAsia="en-GB"/>
        </w:rPr>
        <w:t xml:space="preserve"> </w:t>
      </w:r>
    </w:p>
    <w:p w:rsidR="00C158CF" w:rsidRPr="002A6BA8" w:rsidRDefault="00E05545" w:rsidP="00A92DE8">
      <w:pPr>
        <w:pStyle w:val="MainText"/>
      </w:pPr>
      <w:r w:rsidRPr="002A6BA8">
        <w:t xml:space="preserve">In conclusions, our study demonstrates </w:t>
      </w:r>
      <w:r w:rsidR="00CE155B" w:rsidRPr="002A6BA8">
        <w:t>the</w:t>
      </w:r>
      <w:r w:rsidRPr="002A6BA8">
        <w:t xml:space="preserve"> beneficial </w:t>
      </w:r>
      <w:r w:rsidR="006D46BD" w:rsidRPr="002A6BA8">
        <w:t xml:space="preserve">role </w:t>
      </w:r>
      <w:r w:rsidRPr="002A6BA8">
        <w:t>of C</w:t>
      </w:r>
      <w:r w:rsidRPr="002A6BA8">
        <w:rPr>
          <w:vertAlign w:val="subscript"/>
        </w:rPr>
        <w:t>70</w:t>
      </w:r>
      <w:r w:rsidRPr="002A6BA8">
        <w:t xml:space="preserve"> fullerene</w:t>
      </w:r>
      <w:r w:rsidR="006D46BD" w:rsidRPr="002A6BA8">
        <w:t xml:space="preserve"> incorporation</w:t>
      </w:r>
      <w:r w:rsidRPr="002A6BA8">
        <w:t xml:space="preserve"> </w:t>
      </w:r>
      <w:r w:rsidR="006C45F5" w:rsidRPr="002A6BA8">
        <w:t>into the MAPbI</w:t>
      </w:r>
      <w:r w:rsidR="006C45F5" w:rsidRPr="002A6BA8">
        <w:rPr>
          <w:vertAlign w:val="subscript"/>
        </w:rPr>
        <w:t>3</w:t>
      </w:r>
      <w:r w:rsidR="006C45F5" w:rsidRPr="002A6BA8">
        <w:t xml:space="preserve"> matrix </w:t>
      </w:r>
      <w:r w:rsidR="00F27FF1" w:rsidRPr="002A6BA8">
        <w:t xml:space="preserve">even </w:t>
      </w:r>
      <w:r w:rsidR="006C45F5" w:rsidRPr="002A6BA8">
        <w:t xml:space="preserve">for </w:t>
      </w:r>
      <w:r w:rsidR="006D46BD" w:rsidRPr="002A6BA8">
        <w:t>very low</w:t>
      </w:r>
      <w:r w:rsidR="006C45F5" w:rsidRPr="002A6BA8">
        <w:t xml:space="preserve"> relative amounts (below 0.05% </w:t>
      </w:r>
      <w:r w:rsidR="00540974" w:rsidRPr="002A6BA8">
        <w:rPr>
          <w:sz w:val="20"/>
          <w:lang w:val="de-DE" w:eastAsia="en-GB"/>
        </w:rPr>
        <w:t>M</w:t>
      </w:r>
      <w:r w:rsidR="006C45F5" w:rsidRPr="002A6BA8">
        <w:t>)</w:t>
      </w:r>
      <w:r w:rsidR="006D46BD" w:rsidRPr="002A6BA8">
        <w:t>,</w:t>
      </w:r>
      <w:r w:rsidR="00B63099" w:rsidRPr="002A6BA8">
        <w:t xml:space="preserve"> where a </w:t>
      </w:r>
      <w:r w:rsidR="000D0BE1" w:rsidRPr="002A6BA8">
        <w:t>bulk</w:t>
      </w:r>
      <w:r w:rsidR="00CE155B" w:rsidRPr="002A6BA8">
        <w:t>-</w:t>
      </w:r>
      <w:r w:rsidR="000D0BE1" w:rsidRPr="002A6BA8">
        <w:t xml:space="preserve">heterojunction </w:t>
      </w:r>
      <w:r w:rsidR="00CE155B" w:rsidRPr="002A6BA8">
        <w:t>like morphology</w:t>
      </w:r>
      <w:r w:rsidR="000D0BE1" w:rsidRPr="002A6BA8">
        <w:t xml:space="preserve"> is not plausible</w:t>
      </w:r>
      <w:r w:rsidR="00733CDC" w:rsidRPr="002A6BA8">
        <w:t xml:space="preserve"> to exist</w:t>
      </w:r>
      <w:r w:rsidRPr="002A6BA8">
        <w:t>. By means of time</w:t>
      </w:r>
      <w:r w:rsidR="00D73E2B" w:rsidRPr="002A6BA8">
        <w:t>-</w:t>
      </w:r>
      <w:r w:rsidRPr="002A6BA8">
        <w:t xml:space="preserve">resolved </w:t>
      </w:r>
      <w:r w:rsidR="00D73E2B" w:rsidRPr="002A6BA8">
        <w:t>PL</w:t>
      </w:r>
      <w:r w:rsidRPr="002A6BA8">
        <w:t xml:space="preserve"> and picosecond to nanosecond </w:t>
      </w:r>
      <w:r w:rsidR="00D73E2B" w:rsidRPr="002A6BA8">
        <w:t>TA</w:t>
      </w:r>
      <w:r w:rsidRPr="002A6BA8">
        <w:t xml:space="preserve"> measurements</w:t>
      </w:r>
      <w:r w:rsidR="0085599B" w:rsidRPr="002A6BA8">
        <w:t>,</w:t>
      </w:r>
      <w:r w:rsidRPr="002A6BA8">
        <w:t xml:space="preserve"> the electron transfer dynamics are highlighted. </w:t>
      </w:r>
      <w:r w:rsidR="004757B3" w:rsidRPr="002A6BA8">
        <w:t xml:space="preserve">We </w:t>
      </w:r>
      <w:r w:rsidRPr="002A6BA8">
        <w:t>demonstrate that</w:t>
      </w:r>
      <w:r w:rsidR="004757B3" w:rsidRPr="002A6BA8">
        <w:t>, due to the favorable interface energy landscape,</w:t>
      </w:r>
      <w:r w:rsidRPr="002A6BA8">
        <w:t xml:space="preserve"> </w:t>
      </w:r>
      <w:r w:rsidR="00CA3211" w:rsidRPr="002A6BA8">
        <w:t xml:space="preserve">electrons are transferred from the perovskite to </w:t>
      </w:r>
      <w:r w:rsidRPr="002A6BA8">
        <w:t>the C</w:t>
      </w:r>
      <w:r w:rsidRPr="002A6BA8">
        <w:rPr>
          <w:vertAlign w:val="subscript"/>
        </w:rPr>
        <w:t>70</w:t>
      </w:r>
      <w:r w:rsidRPr="002A6BA8">
        <w:t xml:space="preserve"> molecules </w:t>
      </w:r>
      <w:r w:rsidR="006D46BD" w:rsidRPr="002A6BA8">
        <w:t>on the picosecond time scale</w:t>
      </w:r>
      <w:r w:rsidR="00CA3211" w:rsidRPr="002A6BA8">
        <w:t>.</w:t>
      </w:r>
      <w:r w:rsidRPr="002A6BA8">
        <w:t xml:space="preserve"> With this </w:t>
      </w:r>
      <w:r w:rsidR="00C56A78" w:rsidRPr="002A6BA8">
        <w:lastRenderedPageBreak/>
        <w:t>strategy</w:t>
      </w:r>
      <w:r w:rsidRPr="002A6BA8">
        <w:t xml:space="preserve">, using </w:t>
      </w:r>
      <w:r w:rsidR="00C56A78" w:rsidRPr="002A6BA8">
        <w:t xml:space="preserve">mixed </w:t>
      </w:r>
      <w:r w:rsidRPr="002A6BA8">
        <w:t>MAPbI</w:t>
      </w:r>
      <w:r w:rsidRPr="002A6BA8">
        <w:rPr>
          <w:vertAlign w:val="subscript"/>
        </w:rPr>
        <w:t>3</w:t>
      </w:r>
      <w:r w:rsidRPr="002A6BA8">
        <w:t>:C</w:t>
      </w:r>
      <w:r w:rsidRPr="002A6BA8">
        <w:rPr>
          <w:vertAlign w:val="subscript"/>
        </w:rPr>
        <w:t>70</w:t>
      </w:r>
      <w:r w:rsidRPr="002A6BA8">
        <w:t>,</w:t>
      </w:r>
      <w:r w:rsidR="008A67F0" w:rsidRPr="002A6BA8">
        <w:t xml:space="preserve"> w</w:t>
      </w:r>
      <w:r w:rsidRPr="002A6BA8">
        <w:t xml:space="preserve">e demonstrate PCE of 15.7%, </w:t>
      </w:r>
      <w:r w:rsidR="008A67F0" w:rsidRPr="002A6BA8">
        <w:t>with a short circuit current density of 20.44 mA/cm</w:t>
      </w:r>
      <w:r w:rsidR="008A67F0" w:rsidRPr="002A6BA8">
        <w:rPr>
          <w:vertAlign w:val="superscript"/>
        </w:rPr>
        <w:t>2</w:t>
      </w:r>
      <w:r w:rsidR="008A67F0" w:rsidRPr="002A6BA8">
        <w:t xml:space="preserve">, an open-circuit potential of 1.06 V and a fill factor of 0.72 for ETL-free cells, </w:t>
      </w:r>
      <w:r w:rsidRPr="002A6BA8">
        <w:t>a record for this class of device</w:t>
      </w:r>
      <w:r w:rsidR="00D73E2B" w:rsidRPr="002A6BA8">
        <w:t>s</w:t>
      </w:r>
      <w:r w:rsidRPr="002A6BA8">
        <w:t xml:space="preserve">. </w:t>
      </w:r>
      <w:r w:rsidR="008A67F0" w:rsidRPr="002A6BA8">
        <w:t>Consequently, a direct impact on device performances as an enhancement of the solar cell open circuit voltage is observed, which manifests in both standard devices (using TiO</w:t>
      </w:r>
      <w:r w:rsidR="008A67F0" w:rsidRPr="002A6BA8">
        <w:rPr>
          <w:vertAlign w:val="subscript"/>
        </w:rPr>
        <w:t>2</w:t>
      </w:r>
      <w:r w:rsidR="008A67F0" w:rsidRPr="002A6BA8">
        <w:t xml:space="preserve"> as ETL) and, more interestingly, in ETL-free cells. We envisage that blending the MAPbI</w:t>
      </w:r>
      <w:r w:rsidR="008A67F0" w:rsidRPr="002A6BA8">
        <w:rPr>
          <w:vertAlign w:val="subscript"/>
        </w:rPr>
        <w:t>3</w:t>
      </w:r>
      <w:r w:rsidR="008A67F0" w:rsidRPr="002A6BA8">
        <w:t xml:space="preserve"> with a small amount of electron accepting molecules, forming a finely dispersed system, can open up a new way to reduce the trap density in the perovskite film. </w:t>
      </w:r>
      <w:r w:rsidRPr="002A6BA8">
        <w:t>On the other side, being aware that both negatively and positively trapped charges coexist in the perovskite film, this blending procedure can be extended to organic hole accepting molecules, as a new route to</w:t>
      </w:r>
      <w:r w:rsidR="00F27FF1" w:rsidRPr="002A6BA8">
        <w:t>wards</w:t>
      </w:r>
      <w:r w:rsidRPr="002A6BA8">
        <w:t xml:space="preserve"> the development of trap-free perovskite films. </w:t>
      </w:r>
      <w:r w:rsidR="00F27FF1" w:rsidRPr="002A6BA8">
        <w:t>In addition, o</w:t>
      </w:r>
      <w:r w:rsidRPr="002A6BA8">
        <w:t>ur results suggest that the use of selective hole and electron</w:t>
      </w:r>
      <w:r w:rsidR="00D73E2B" w:rsidRPr="002A6BA8">
        <w:t xml:space="preserve"> transport</w:t>
      </w:r>
      <w:r w:rsidRPr="002A6BA8">
        <w:t xml:space="preserve"> layers may not be the ultimate approach to optimize charge transport and collection, while an optimized doped perovskite with an intermixed morphology can be an easier and preferential route for achieving low cost high-performance perovskite solar cells.</w:t>
      </w:r>
    </w:p>
    <w:p w:rsidR="002D16A0" w:rsidRPr="002A6BA8" w:rsidRDefault="002D16A0" w:rsidP="00A92DE8">
      <w:pPr>
        <w:pStyle w:val="MainText"/>
      </w:pPr>
    </w:p>
    <w:p w:rsidR="00004A23" w:rsidRPr="002A6BA8" w:rsidRDefault="00004A23" w:rsidP="00A92DE8">
      <w:pPr>
        <w:rPr>
          <w:lang w:val="en-US"/>
        </w:rPr>
      </w:pPr>
    </w:p>
    <w:p w:rsidR="00004A23" w:rsidRPr="002A6BA8" w:rsidRDefault="00004A23" w:rsidP="008A67F0">
      <w:pPr>
        <w:pStyle w:val="Head1"/>
        <w:spacing w:line="480" w:lineRule="auto"/>
        <w:rPr>
          <w:b w:val="0"/>
        </w:rPr>
      </w:pPr>
      <w:r w:rsidRPr="002A6BA8">
        <w:t>Experimental</w:t>
      </w:r>
      <w:r w:rsidR="002D16A0" w:rsidRPr="002A6BA8">
        <w:t xml:space="preserve"> Section</w:t>
      </w:r>
      <w:r w:rsidR="00562E2B" w:rsidRPr="002A6BA8">
        <w:t xml:space="preserve"> </w:t>
      </w:r>
    </w:p>
    <w:p w:rsidR="00023F5F" w:rsidRPr="002A6BA8" w:rsidRDefault="00023F5F" w:rsidP="008A67F0">
      <w:pPr>
        <w:pStyle w:val="ExperimentalText"/>
      </w:pPr>
      <w:r w:rsidRPr="002A6BA8">
        <w:rPr>
          <w:bCs/>
          <w:i/>
        </w:rPr>
        <w:t>Solar cell fabrication</w:t>
      </w:r>
      <w:r w:rsidRPr="002A6BA8">
        <w:rPr>
          <w:bCs/>
        </w:rPr>
        <w:t>: Perovskite solar cells were fabricated on F-doped SnO</w:t>
      </w:r>
      <w:r w:rsidRPr="002A6BA8">
        <w:rPr>
          <w:bCs/>
          <w:vertAlign w:val="subscript"/>
        </w:rPr>
        <w:t>2</w:t>
      </w:r>
      <w:r w:rsidRPr="002A6BA8">
        <w:rPr>
          <w:bCs/>
        </w:rPr>
        <w:t xml:space="preserve"> </w:t>
      </w:r>
      <w:r w:rsidRPr="002A6BA8">
        <w:t xml:space="preserve">(NSG10) </w:t>
      </w:r>
      <w:r w:rsidRPr="002A6BA8">
        <w:rPr>
          <w:bCs/>
        </w:rPr>
        <w:t xml:space="preserve">substrates previously cleaned by a sequential sonication treatment in a 2 % Hellmanex solution, acetone and isopropanol, followed by UV ozone treatment for 15 min. </w:t>
      </w:r>
      <w:r w:rsidRPr="002A6BA8">
        <w:t>A compact blocking layer of TiO</w:t>
      </w:r>
      <w:r w:rsidRPr="002A6BA8">
        <w:rPr>
          <w:vertAlign w:val="subscript"/>
        </w:rPr>
        <w:t>2</w:t>
      </w:r>
      <w:r w:rsidRPr="002A6BA8">
        <w:t xml:space="preserve"> (bl-TiO</w:t>
      </w:r>
      <w:r w:rsidRPr="002A6BA8">
        <w:rPr>
          <w:vertAlign w:val="subscript"/>
        </w:rPr>
        <w:t>2</w:t>
      </w:r>
      <w:r w:rsidRPr="002A6BA8">
        <w:t>, 30 nm in thickness) was then deposited onto the FTO glass substrate by spray pyrolysis, using a titanium diisopropoxide bis(acetylacetonate) solution in ethanol (60% v/v), and then sinter</w:t>
      </w:r>
      <w:r w:rsidR="00DA3EF3" w:rsidRPr="002A6BA8">
        <w:t>ed</w:t>
      </w:r>
      <w:r w:rsidRPr="002A6BA8">
        <w:t xml:space="preserve"> at 450 °C for 30 minutes. A 200-nm</w:t>
      </w:r>
      <w:r w:rsidR="00DA3EF3" w:rsidRPr="002A6BA8">
        <w:t>-</w:t>
      </w:r>
      <w:r w:rsidRPr="002A6BA8">
        <w:t>thick layer of mesoporous TiO</w:t>
      </w:r>
      <w:r w:rsidRPr="002A6BA8">
        <w:rPr>
          <w:vertAlign w:val="subscript"/>
        </w:rPr>
        <w:t>2</w:t>
      </w:r>
      <w:r w:rsidRPr="002A6BA8">
        <w:t xml:space="preserve"> (</w:t>
      </w:r>
      <w:r w:rsidR="007E0EAA" w:rsidRPr="002A6BA8">
        <w:t>meso</w:t>
      </w:r>
      <w:r w:rsidRPr="002A6BA8">
        <w:t>-TiO</w:t>
      </w:r>
      <w:r w:rsidRPr="002A6BA8">
        <w:rPr>
          <w:vertAlign w:val="subscript"/>
        </w:rPr>
        <w:t>2</w:t>
      </w:r>
      <w:r w:rsidRPr="002A6BA8">
        <w:t>, 30 NR-D titania paste from Dyesol) was prepared by spin-coating a diluted TiO</w:t>
      </w:r>
      <w:r w:rsidRPr="002A6BA8">
        <w:rPr>
          <w:vertAlign w:val="subscript"/>
        </w:rPr>
        <w:t>2</w:t>
      </w:r>
      <w:r w:rsidRPr="002A6BA8">
        <w:t xml:space="preserve"> dispersion in ethanol, ratio 1:8 by weight, at 2000 rpm for 15s followed by a sintering step at 500 °C for 30 min. Afterwards, the substrates were lithium-treated by </w:t>
      </w:r>
      <w:r w:rsidRPr="002A6BA8">
        <w:lastRenderedPageBreak/>
        <w:t xml:space="preserve">spin-coating 40 </w:t>
      </w:r>
      <w:r w:rsidRPr="002A6BA8">
        <w:rPr>
          <w:lang w:val="fr-FR"/>
        </w:rPr>
        <w:t>μ</w:t>
      </w:r>
      <w:r w:rsidRPr="002A6BA8">
        <w:t xml:space="preserve">l of tris(bis(trifluoromethylsulfonyl)imide) (Li-TFS ) (14.67mg/ml in acetonitrile) onto the mesoporous layer, followed by a sintering step at 500 °C for 30 min. </w:t>
      </w:r>
      <w:r w:rsidRPr="002A6BA8">
        <w:rPr>
          <w:lang w:val="de-DE"/>
        </w:rPr>
        <w:t>The perovskite solution was prepared based on 1.25 M PbI</w:t>
      </w:r>
      <w:r w:rsidRPr="002A6BA8">
        <w:rPr>
          <w:vertAlign w:val="subscript"/>
          <w:lang w:val="de-DE"/>
        </w:rPr>
        <w:t>2</w:t>
      </w:r>
      <w:r w:rsidRPr="002A6BA8">
        <w:rPr>
          <w:lang w:val="de-DE"/>
        </w:rPr>
        <w:t xml:space="preserve"> /MAI (1:1) in</w:t>
      </w:r>
      <w:r w:rsidR="00A035CA" w:rsidRPr="002A6BA8">
        <w:rPr>
          <w:lang w:val="de-DE"/>
        </w:rPr>
        <w:t xml:space="preserve"> </w:t>
      </w:r>
      <w:r w:rsidR="00955A33" w:rsidRPr="002A6BA8">
        <w:rPr>
          <w:bCs/>
          <w:lang w:val="de-DE"/>
        </w:rPr>
        <w:t>dimethyl sulfoxide</w:t>
      </w:r>
      <w:r w:rsidR="00955A33" w:rsidRPr="002A6BA8">
        <w:rPr>
          <w:lang w:val="de-DE"/>
        </w:rPr>
        <w:t xml:space="preserve"> (</w:t>
      </w:r>
      <w:r w:rsidR="00A035CA" w:rsidRPr="002A6BA8">
        <w:rPr>
          <w:lang w:val="de-DE"/>
        </w:rPr>
        <w:t>DMSO</w:t>
      </w:r>
      <w:r w:rsidR="00955A33" w:rsidRPr="002A6BA8">
        <w:rPr>
          <w:lang w:val="de-DE"/>
        </w:rPr>
        <w:t>)</w:t>
      </w:r>
      <w:r w:rsidR="002F3400" w:rsidRPr="002A6BA8">
        <w:rPr>
          <w:lang w:val="de-DE"/>
        </w:rPr>
        <w:t>.</w:t>
      </w:r>
      <w:r w:rsidRPr="002A6BA8">
        <w:rPr>
          <w:lang w:val="de-DE"/>
        </w:rPr>
        <w:t xml:space="preserve"> </w:t>
      </w:r>
      <w:r w:rsidR="00A538BA" w:rsidRPr="002A6BA8">
        <w:rPr>
          <w:lang w:val="de-DE"/>
        </w:rPr>
        <w:t>Besides,</w:t>
      </w:r>
      <w:r w:rsidR="00A42AA0" w:rsidRPr="002A6BA8">
        <w:rPr>
          <w:lang w:val="de-DE"/>
        </w:rPr>
        <w:t xml:space="preserve"> </w:t>
      </w:r>
      <w:r w:rsidRPr="002A6BA8">
        <w:rPr>
          <w:lang w:val="de-DE"/>
        </w:rPr>
        <w:t>MAPbI</w:t>
      </w:r>
      <w:r w:rsidRPr="002A6BA8">
        <w:rPr>
          <w:vertAlign w:val="subscript"/>
          <w:lang w:val="de-DE"/>
        </w:rPr>
        <w:t>3</w:t>
      </w:r>
      <w:r w:rsidRPr="002A6BA8">
        <w:rPr>
          <w:lang w:val="de-DE"/>
        </w:rPr>
        <w:t>:C</w:t>
      </w:r>
      <w:r w:rsidRPr="002A6BA8">
        <w:rPr>
          <w:vertAlign w:val="subscript"/>
          <w:lang w:val="de-DE"/>
        </w:rPr>
        <w:t>70</w:t>
      </w:r>
      <w:r w:rsidRPr="002A6BA8">
        <w:rPr>
          <w:lang w:val="de-DE"/>
        </w:rPr>
        <w:t xml:space="preserve"> blend</w:t>
      </w:r>
      <w:r w:rsidR="002F3400" w:rsidRPr="002A6BA8">
        <w:rPr>
          <w:lang w:val="de-DE"/>
        </w:rPr>
        <w:t>s</w:t>
      </w:r>
      <w:r w:rsidRPr="002A6BA8">
        <w:rPr>
          <w:lang w:val="de-DE"/>
        </w:rPr>
        <w:t xml:space="preserve"> were prepared </w:t>
      </w:r>
      <w:r w:rsidR="002F3400" w:rsidRPr="002A6BA8">
        <w:rPr>
          <w:lang w:val="de-DE"/>
        </w:rPr>
        <w:t xml:space="preserve">by adding </w:t>
      </w:r>
      <w:r w:rsidR="00955A33" w:rsidRPr="002A6BA8">
        <w:rPr>
          <w:lang w:val="de-DE"/>
        </w:rPr>
        <w:t xml:space="preserve">250 µl of </w:t>
      </w:r>
      <w:r w:rsidR="00972D63" w:rsidRPr="002A6BA8">
        <w:rPr>
          <w:lang w:val="de-DE"/>
        </w:rPr>
        <w:t xml:space="preserve">a starting solution of </w:t>
      </w:r>
      <w:r w:rsidR="00F95157" w:rsidRPr="002A6BA8">
        <w:rPr>
          <w:lang w:val="de-DE"/>
        </w:rPr>
        <w:t>C</w:t>
      </w:r>
      <w:r w:rsidR="00955A33" w:rsidRPr="002A6BA8">
        <w:rPr>
          <w:vertAlign w:val="subscript"/>
          <w:lang w:val="de-DE"/>
        </w:rPr>
        <w:t>70</w:t>
      </w:r>
      <w:r w:rsidR="00955A33" w:rsidRPr="002A6BA8">
        <w:rPr>
          <w:lang w:val="de-DE"/>
        </w:rPr>
        <w:t xml:space="preserve"> </w:t>
      </w:r>
      <w:r w:rsidR="002F3400" w:rsidRPr="002A6BA8">
        <w:rPr>
          <w:lang w:val="de-DE"/>
        </w:rPr>
        <w:t>in</w:t>
      </w:r>
      <w:r w:rsidR="007E0EAA" w:rsidRPr="002A6BA8">
        <w:rPr>
          <w:lang w:val="de-DE"/>
        </w:rPr>
        <w:t xml:space="preserve"> </w:t>
      </w:r>
      <w:r w:rsidRPr="002A6BA8">
        <w:rPr>
          <w:i/>
          <w:lang w:val="de-DE"/>
        </w:rPr>
        <w:t>o</w:t>
      </w:r>
      <w:r w:rsidRPr="002A6BA8">
        <w:rPr>
          <w:lang w:val="de-DE"/>
        </w:rPr>
        <w:t xml:space="preserve">-xylene </w:t>
      </w:r>
      <w:r w:rsidR="002F3400" w:rsidRPr="002A6BA8">
        <w:rPr>
          <w:lang w:val="de-DE"/>
        </w:rPr>
        <w:t xml:space="preserve">solvent </w:t>
      </w:r>
      <w:r w:rsidRPr="002A6BA8">
        <w:rPr>
          <w:lang w:val="de-DE"/>
        </w:rPr>
        <w:t>(2</w:t>
      </w:r>
      <w:r w:rsidR="00955A33" w:rsidRPr="002A6BA8">
        <w:rPr>
          <w:lang w:val="de-DE"/>
        </w:rPr>
        <w:t xml:space="preserve"> </w:t>
      </w:r>
      <w:r w:rsidRPr="002A6BA8">
        <w:rPr>
          <w:lang w:val="de-DE"/>
        </w:rPr>
        <w:t>mg/</w:t>
      </w:r>
      <w:r w:rsidR="00A42AA0" w:rsidRPr="002A6BA8">
        <w:rPr>
          <w:lang w:val="de-DE"/>
        </w:rPr>
        <w:t>ml</w:t>
      </w:r>
      <w:r w:rsidRPr="002A6BA8">
        <w:rPr>
          <w:lang w:val="de-DE"/>
        </w:rPr>
        <w:t>)</w:t>
      </w:r>
      <w:r w:rsidR="008B06C1" w:rsidRPr="002A6BA8">
        <w:rPr>
          <w:lang w:val="de-DE"/>
        </w:rPr>
        <w:t xml:space="preserve"> to 1000 µL of MAPbI</w:t>
      </w:r>
      <w:r w:rsidR="008B06C1" w:rsidRPr="002A6BA8">
        <w:rPr>
          <w:vertAlign w:val="subscript"/>
          <w:lang w:val="de-DE"/>
        </w:rPr>
        <w:t>3</w:t>
      </w:r>
      <w:r w:rsidR="002F3400" w:rsidRPr="002A6BA8">
        <w:rPr>
          <w:lang w:val="de-DE"/>
        </w:rPr>
        <w:t>.</w:t>
      </w:r>
      <w:r w:rsidRPr="002A6BA8">
        <w:rPr>
          <w:lang w:val="de-DE"/>
        </w:rPr>
        <w:t xml:space="preserve"> The </w:t>
      </w:r>
      <w:r w:rsidR="008B06C1" w:rsidRPr="002A6BA8">
        <w:rPr>
          <w:lang w:val="de-DE"/>
        </w:rPr>
        <w:t>perovskite</w:t>
      </w:r>
      <w:r w:rsidRPr="002A6BA8">
        <w:rPr>
          <w:lang w:val="de-DE"/>
        </w:rPr>
        <w:t xml:space="preserve"> solution was</w:t>
      </w:r>
      <w:r w:rsidR="008B06C1" w:rsidRPr="002A6BA8">
        <w:rPr>
          <w:lang w:val="de-DE"/>
        </w:rPr>
        <w:t xml:space="preserve"> then</w:t>
      </w:r>
      <w:r w:rsidRPr="002A6BA8">
        <w:rPr>
          <w:lang w:val="de-DE"/>
        </w:rPr>
        <w:t xml:space="preserve"> deposited by </w:t>
      </w:r>
      <w:r w:rsidR="00557FDA" w:rsidRPr="002A6BA8">
        <w:rPr>
          <w:lang w:val="de-DE"/>
        </w:rPr>
        <w:t xml:space="preserve">a </w:t>
      </w:r>
      <w:r w:rsidRPr="002A6BA8">
        <w:rPr>
          <w:lang w:val="de-DE"/>
        </w:rPr>
        <w:t xml:space="preserve">two step spin coating </w:t>
      </w:r>
      <w:r w:rsidR="00557FDA" w:rsidRPr="002A6BA8">
        <w:rPr>
          <w:lang w:val="de-DE"/>
        </w:rPr>
        <w:t xml:space="preserve">method, </w:t>
      </w:r>
      <w:r w:rsidRPr="002A6BA8">
        <w:rPr>
          <w:lang w:val="de-DE"/>
        </w:rPr>
        <w:t>starting at 1000 rpm for 10 s</w:t>
      </w:r>
      <w:r w:rsidR="00EC37DB" w:rsidRPr="002A6BA8">
        <w:rPr>
          <w:lang w:val="de-DE"/>
        </w:rPr>
        <w:t xml:space="preserve"> (</w:t>
      </w:r>
      <w:r w:rsidRPr="002A6BA8">
        <w:rPr>
          <w:lang w:val="de-DE"/>
        </w:rPr>
        <w:t>500 rpm/s</w:t>
      </w:r>
      <w:r w:rsidR="00EC37DB" w:rsidRPr="002A6BA8">
        <w:rPr>
          <w:lang w:val="de-DE"/>
        </w:rPr>
        <w:t>)</w:t>
      </w:r>
      <w:r w:rsidRPr="002A6BA8">
        <w:rPr>
          <w:lang w:val="de-DE"/>
        </w:rPr>
        <w:t xml:space="preserve"> and finalizing at 4000 rpm for 30 s (2000</w:t>
      </w:r>
      <w:r w:rsidR="00815AEE" w:rsidRPr="002A6BA8">
        <w:rPr>
          <w:lang w:val="de-DE"/>
        </w:rPr>
        <w:t xml:space="preserve"> </w:t>
      </w:r>
      <w:r w:rsidRPr="002A6BA8">
        <w:rPr>
          <w:lang w:val="de-DE"/>
        </w:rPr>
        <w:t xml:space="preserve">rpm/s). 10s prior to the end, 100 µl of chlorobenzene were added onto the film to obtain a dense pinhole-free perovskite layer. Finally the films were annealed at 100 °C for 1h. </w:t>
      </w:r>
      <w:r w:rsidRPr="002A6BA8">
        <w:t>After this time, spiro-</w:t>
      </w:r>
      <w:r w:rsidR="00557FDA" w:rsidRPr="002A6BA8">
        <w:t xml:space="preserve">OMeTAD </w:t>
      </w:r>
      <w:r w:rsidRPr="002A6BA8">
        <w:t>was spin-coated at 4000rpm, 30s from a chlorobenzene solution (28.9mg in 400</w:t>
      </w:r>
      <w:r w:rsidRPr="002A6BA8">
        <w:rPr>
          <w:lang w:val="fr-FR"/>
        </w:rPr>
        <w:t>μ</w:t>
      </w:r>
      <w:r w:rsidRPr="002A6BA8">
        <w:t>l, 60m</w:t>
      </w:r>
      <w:r w:rsidR="00540974" w:rsidRPr="002A6BA8">
        <w:t xml:space="preserve"> </w:t>
      </w:r>
      <w:r w:rsidR="00540974" w:rsidRPr="002A6BA8">
        <w:rPr>
          <w:sz w:val="20"/>
          <w:lang w:val="de-DE" w:eastAsia="en-GB"/>
        </w:rPr>
        <w:t>M</w:t>
      </w:r>
      <w:r w:rsidRPr="002A6BA8">
        <w:t>) containing Li-TFSI (7.0</w:t>
      </w:r>
      <w:r w:rsidRPr="002A6BA8">
        <w:rPr>
          <w:lang w:val="fr-FR"/>
        </w:rPr>
        <w:t>μ</w:t>
      </w:r>
      <w:r w:rsidRPr="002A6BA8">
        <w:t>l from a 520</w:t>
      </w:r>
      <w:r w:rsidR="00540974" w:rsidRPr="002A6BA8">
        <w:t xml:space="preserve"> </w:t>
      </w:r>
      <w:r w:rsidRPr="002A6BA8">
        <w:t>mg/ml stock solution in acetonitrile), TBP (11.5</w:t>
      </w:r>
      <w:r w:rsidRPr="002A6BA8">
        <w:rPr>
          <w:lang w:val="fr-FR"/>
        </w:rPr>
        <w:t>μ</w:t>
      </w:r>
      <w:r w:rsidRPr="002A6BA8">
        <w:t>l) and Co(II)TFSI (10</w:t>
      </w:r>
      <w:r w:rsidR="00540974" w:rsidRPr="002A6BA8">
        <w:t xml:space="preserve"> </w:t>
      </w:r>
      <w:r w:rsidR="00540974" w:rsidRPr="002A6BA8">
        <w:rPr>
          <w:sz w:val="20"/>
          <w:lang w:val="de-DE" w:eastAsia="en-GB"/>
        </w:rPr>
        <w:t>M</w:t>
      </w:r>
      <w:r w:rsidRPr="002A6BA8">
        <w:t>%, 8.8</w:t>
      </w:r>
      <w:r w:rsidRPr="002A6BA8">
        <w:rPr>
          <w:lang w:val="fr-FR"/>
        </w:rPr>
        <w:t>μ</w:t>
      </w:r>
      <w:r w:rsidRPr="002A6BA8">
        <w:t>l from a 40</w:t>
      </w:r>
      <w:r w:rsidR="00540974" w:rsidRPr="002A6BA8">
        <w:t xml:space="preserve"> </w:t>
      </w:r>
      <w:r w:rsidRPr="002A6BA8">
        <w:t>mg/ml stock solution) as dopants. Finally, a 70 nm gold electrode was evaporated.</w:t>
      </w:r>
    </w:p>
    <w:p w:rsidR="00023F5F" w:rsidRPr="002A6BA8" w:rsidRDefault="00023F5F" w:rsidP="00A92DE8">
      <w:pPr>
        <w:pStyle w:val="ExperimentalText"/>
        <w:rPr>
          <w:i/>
        </w:rPr>
      </w:pPr>
      <w:r w:rsidRPr="002A6BA8">
        <w:rPr>
          <w:i/>
        </w:rPr>
        <w:t>Device Characterization.</w:t>
      </w:r>
    </w:p>
    <w:p w:rsidR="00023F5F" w:rsidRPr="002A6BA8" w:rsidRDefault="00023F5F" w:rsidP="00A92DE8">
      <w:pPr>
        <w:pStyle w:val="ExperimentalText"/>
      </w:pPr>
      <w:r w:rsidRPr="002A6BA8">
        <w:t>The photovoltaic device performance was analyzed using a VeraSol LED solar simulator (Newport) producing 1 sun AM 1.5 (1000W/m</w:t>
      </w:r>
      <w:r w:rsidRPr="002A6BA8">
        <w:rPr>
          <w:vertAlign w:val="superscript"/>
        </w:rPr>
        <w:t>2</w:t>
      </w:r>
      <w:r w:rsidRPr="002A6BA8">
        <w:t>) sunlight. Current-voltage curves were measured in air with a potentiostat (Keithley 2604). The light intensity was calibrated with a NREL certified KG5 filtered Si reference diode. The solar cells were masked with a metal aperture of 0.16 cm</w:t>
      </w:r>
      <w:r w:rsidRPr="002A6BA8">
        <w:rPr>
          <w:vertAlign w:val="superscript"/>
        </w:rPr>
        <w:t>2</w:t>
      </w:r>
      <w:r w:rsidRPr="002A6BA8">
        <w:t xml:space="preserve"> to define the active area. </w:t>
      </w:r>
      <w:r w:rsidRPr="002A6BA8">
        <w:rPr>
          <w:bCs/>
          <w:lang w:val="en-GB"/>
        </w:rPr>
        <w:t>The cells were measured in air, at room temperature and without encapsulation, at a constant rate 10 mV·s</w:t>
      </w:r>
      <w:r w:rsidRPr="002A6BA8">
        <w:rPr>
          <w:bCs/>
          <w:vertAlign w:val="superscript"/>
          <w:lang w:val="en-GB"/>
        </w:rPr>
        <w:t>-1</w:t>
      </w:r>
      <w:r w:rsidRPr="002A6BA8">
        <w:rPr>
          <w:bCs/>
          <w:lang w:val="en-GB"/>
        </w:rPr>
        <w:t xml:space="preserve"> for both forward and reverse bias. No special pre-conditioning protocol was used apart from 5 seconds of stabilization time before the measurement. No anti-reflective coating was used during the measurement. </w:t>
      </w:r>
    </w:p>
    <w:p w:rsidR="00023F5F" w:rsidRPr="002A6BA8" w:rsidRDefault="00023F5F" w:rsidP="00A92DE8">
      <w:pPr>
        <w:pStyle w:val="ExperimentalText"/>
      </w:pPr>
      <w:r w:rsidRPr="002A6BA8">
        <w:rPr>
          <w:i/>
        </w:rPr>
        <w:t>Steady-state Optical Characterization</w:t>
      </w:r>
      <w:r w:rsidRPr="002A6BA8">
        <w:t>. The absorption spectra were registered with an UV-VIS-IR spectrophotometer (</w:t>
      </w:r>
      <w:r w:rsidRPr="002A6BA8">
        <w:rPr>
          <w:i/>
        </w:rPr>
        <w:t>PerkinElmer Instrument</w:t>
      </w:r>
      <w:r w:rsidRPr="002A6BA8">
        <w:t xml:space="preserve">). </w:t>
      </w:r>
    </w:p>
    <w:p w:rsidR="00361B45" w:rsidRPr="002A6BA8" w:rsidRDefault="007F5DA6" w:rsidP="00A92DE8">
      <w:pPr>
        <w:pStyle w:val="ExperimentalText"/>
      </w:pPr>
      <w:r w:rsidRPr="002A6BA8">
        <w:rPr>
          <w:i/>
        </w:rPr>
        <w:t>Time Resolved Photoluminescence</w:t>
      </w:r>
      <w:r w:rsidRPr="002A6BA8">
        <w:t>:</w:t>
      </w:r>
      <w:r w:rsidR="00361B45" w:rsidRPr="002A6BA8">
        <w:rPr>
          <w:rFonts w:eastAsia="Times New Roman"/>
          <w:lang w:eastAsia="en-US"/>
        </w:rPr>
        <w:t xml:space="preserve"> </w:t>
      </w:r>
      <w:r w:rsidR="00361B45" w:rsidRPr="002A6BA8">
        <w:t>Photoluminescence (PL) Measurements: CW and time-resolved PL experiments were performed with a spectrophotometer (</w:t>
      </w:r>
      <w:r w:rsidR="00361B45" w:rsidRPr="002A6BA8">
        <w:rPr>
          <w:i/>
        </w:rPr>
        <w:t>Gilden Photonics</w:t>
      </w:r>
      <w:r w:rsidR="00361B45" w:rsidRPr="002A6BA8">
        <w:t xml:space="preserve">) using </w:t>
      </w:r>
      <w:r w:rsidR="00361B45" w:rsidRPr="002A6BA8">
        <w:lastRenderedPageBreak/>
        <w:t>the lamp (at 650nm) or a pulsed source at 460 nm (Ps diode laser BDS-SM, pulse wi</w:t>
      </w:r>
      <w:r w:rsidR="008437CA" w:rsidRPr="002A6BA8">
        <w:t>d</w:t>
      </w:r>
      <w:r w:rsidR="00361B45" w:rsidRPr="002A6BA8">
        <w:t xml:space="preserve">th &lt; 100 ps, from Photonic Solutions, 20 MHz repetition rate, approx. 500 μm spot radius), respectively. The excitation </w:t>
      </w:r>
      <w:r w:rsidR="007E0EAA" w:rsidRPr="002A6BA8">
        <w:t xml:space="preserve">fluence </w:t>
      </w:r>
      <w:r w:rsidR="00361B45" w:rsidRPr="002A6BA8">
        <w:t>is around few nJ/cm</w:t>
      </w:r>
      <w:r w:rsidR="00361B45" w:rsidRPr="002A6BA8">
        <w:rPr>
          <w:vertAlign w:val="superscript"/>
        </w:rPr>
        <w:t>2</w:t>
      </w:r>
      <w:r w:rsidR="00361B45" w:rsidRPr="002A6BA8">
        <w:t>. The steady state spectra and the time-resolved signal w</w:t>
      </w:r>
      <w:r w:rsidR="007E0EAA" w:rsidRPr="002A6BA8">
        <w:t>ere</w:t>
      </w:r>
      <w:r w:rsidR="00361B45" w:rsidRPr="002A6BA8">
        <w:t xml:space="preserve"> recorded by a photomultiplier tube and by a Time Correlated Single Photon Counting detection technique with a time resolution of 1 ns within a 40 ns time window. For extended time window the ns</w:t>
      </w:r>
      <w:r w:rsidR="007E0EAA" w:rsidRPr="002A6BA8">
        <w:t>-</w:t>
      </w:r>
      <w:r w:rsidR="00361B45" w:rsidRPr="002A6BA8">
        <w:t xml:space="preserve">TA system has been used to collect the emission. </w:t>
      </w:r>
    </w:p>
    <w:p w:rsidR="007F5DA6" w:rsidRPr="002A6BA8" w:rsidRDefault="007F5DA6" w:rsidP="00A92DE8">
      <w:pPr>
        <w:pStyle w:val="ExperimentalText"/>
      </w:pPr>
      <w:r w:rsidRPr="002A6BA8">
        <w:rPr>
          <w:i/>
        </w:rPr>
        <w:t>ns-Transient Absorption Spectroscopy)</w:t>
      </w:r>
      <w:r w:rsidR="00CF4E7F" w:rsidRPr="002A6BA8">
        <w:rPr>
          <w:i/>
        </w:rPr>
        <w:t>/Photoluminescence</w:t>
      </w:r>
      <w:r w:rsidRPr="002A6BA8">
        <w:rPr>
          <w:i/>
        </w:rPr>
        <w:t>:</w:t>
      </w:r>
      <w:r w:rsidRPr="002A6BA8">
        <w:t xml:space="preserve"> For ns</w:t>
      </w:r>
      <w:r w:rsidR="007E0EAA" w:rsidRPr="002A6BA8">
        <w:t>-</w:t>
      </w:r>
      <w:r w:rsidRPr="002A6BA8">
        <w:t xml:space="preserve">TA a ns laser (5ns pulse duration, 10Hz, </w:t>
      </w:r>
      <w:r w:rsidRPr="002A6BA8">
        <w:rPr>
          <w:i/>
        </w:rPr>
        <w:t>Ekspla NT342 model</w:t>
      </w:r>
      <w:r w:rsidRPr="002A6BA8">
        <w:t xml:space="preserve">) with an integrated </w:t>
      </w:r>
      <w:r w:rsidR="008437CA" w:rsidRPr="002A6BA8">
        <w:t xml:space="preserve">optical parametric oscillator </w:t>
      </w:r>
      <w:r w:rsidRPr="002A6BA8">
        <w:t>system (</w:t>
      </w:r>
      <w:r w:rsidR="007E0EAA" w:rsidRPr="002A6BA8">
        <w:t xml:space="preserve">tunable </w:t>
      </w:r>
      <w:r w:rsidRPr="002A6BA8">
        <w:t xml:space="preserve">from 355 to 2500nm) has been used as pump source. It is coupled with the </w:t>
      </w:r>
      <w:r w:rsidRPr="002A6BA8">
        <w:rPr>
          <w:i/>
        </w:rPr>
        <w:t>LP980-KS Laser Flash Photolysis Spectrometer</w:t>
      </w:r>
      <w:r w:rsidRPr="002A6BA8">
        <w:t xml:space="preserve"> used for the measurement of laser induced </w:t>
      </w:r>
      <w:r w:rsidR="007E0EAA" w:rsidRPr="002A6BA8">
        <w:t>TA</w:t>
      </w:r>
      <w:r w:rsidRPr="002A6BA8">
        <w:t xml:space="preserve">, and </w:t>
      </w:r>
      <w:r w:rsidR="00CF4E7F" w:rsidRPr="002A6BA8">
        <w:t>P</w:t>
      </w:r>
      <w:r w:rsidR="007E0EAA" w:rsidRPr="002A6BA8">
        <w:t>L</w:t>
      </w:r>
      <w:r w:rsidR="00CF4E7F" w:rsidRPr="002A6BA8">
        <w:t xml:space="preserve"> </w:t>
      </w:r>
      <w:r w:rsidRPr="002A6BA8">
        <w:t xml:space="preserve">kinetics and spectra. Wavelength specific kinetic measurements are made using photomultiplier and digital storage oscilloscope. </w:t>
      </w:r>
      <w:r w:rsidRPr="002A6BA8">
        <w:rPr>
          <w:lang w:val="en-GB"/>
        </w:rPr>
        <w:t>The probe light is provided by a pulsed Xenon arc lamp. The beams are focused onto the sample on a diameter of minimum 5mm</w:t>
      </w:r>
      <w:r w:rsidRPr="002A6BA8">
        <w:rPr>
          <w:vertAlign w:val="superscript"/>
          <w:lang w:val="en-GB"/>
        </w:rPr>
        <w:t>2</w:t>
      </w:r>
      <w:r w:rsidRPr="002A6BA8">
        <w:rPr>
          <w:lang w:val="en-GB"/>
        </w:rPr>
        <w:t xml:space="preserve"> area, ensuring the spatial overlap. The transmitted probe is spectrally filtered by a monochromator and detected. From the transmission change following photoexcitation the variation in the</w:t>
      </w:r>
      <w:r w:rsidR="00CF4E7F" w:rsidRPr="002A6BA8">
        <w:rPr>
          <w:lang w:val="en-GB"/>
        </w:rPr>
        <w:t xml:space="preserve"> absorption is thus derived as </w:t>
      </w:r>
      <w:r w:rsidRPr="002A6BA8">
        <w:rPr>
          <w:lang w:val="en-GB"/>
        </w:rPr>
        <w:t>Δ(</w:t>
      </w:r>
      <w:r w:rsidRPr="002A6BA8">
        <w:rPr>
          <w:rFonts w:ascii="Cambria Math" w:hAnsi="Cambria Math" w:cs="Cambria Math"/>
          <w:lang w:val="en-GB"/>
        </w:rPr>
        <w:t>𝜏</w:t>
      </w:r>
      <w:r w:rsidRPr="002A6BA8">
        <w:rPr>
          <w:lang w:val="en-GB"/>
        </w:rPr>
        <w:t>,</w:t>
      </w:r>
      <w:r w:rsidRPr="002A6BA8">
        <w:rPr>
          <w:rFonts w:ascii="Cambria Math" w:hAnsi="Cambria Math" w:cs="Cambria Math"/>
          <w:lang w:val="en-GB"/>
        </w:rPr>
        <w:t>𝜆</w:t>
      </w:r>
      <w:r w:rsidRPr="002A6BA8">
        <w:rPr>
          <w:lang w:val="en-GB"/>
        </w:rPr>
        <w:t>)=log(</w:t>
      </w:r>
      <w:r w:rsidRPr="002A6BA8">
        <w:rPr>
          <w:rFonts w:ascii="Cambria Math" w:hAnsi="Cambria Math" w:cs="Cambria Math"/>
          <w:lang w:val="en-GB"/>
        </w:rPr>
        <w:t>𝐼</w:t>
      </w:r>
      <w:r w:rsidRPr="002A6BA8">
        <w:rPr>
          <w:rFonts w:ascii="Cambria Math" w:hAnsi="Cambria Math" w:cs="Cambria Math"/>
          <w:vertAlign w:val="subscript"/>
          <w:lang w:val="en-GB"/>
        </w:rPr>
        <w:t>𝑝𝑟𝑜𝑏𝑒</w:t>
      </w:r>
      <w:r w:rsidRPr="002A6BA8">
        <w:rPr>
          <w:lang w:val="en-GB"/>
        </w:rPr>
        <w:t>)/(</w:t>
      </w:r>
      <w:r w:rsidRPr="002A6BA8">
        <w:rPr>
          <w:rFonts w:ascii="Cambria Math" w:hAnsi="Cambria Math" w:cs="Cambria Math"/>
          <w:lang w:val="en-GB"/>
        </w:rPr>
        <w:t>𝐼</w:t>
      </w:r>
      <w:r w:rsidRPr="002A6BA8">
        <w:rPr>
          <w:rFonts w:ascii="Cambria Math" w:hAnsi="Cambria Math" w:cs="Cambria Math"/>
          <w:vertAlign w:val="subscript"/>
          <w:lang w:val="en-GB"/>
        </w:rPr>
        <w:t>𝑡</w:t>
      </w:r>
      <w:r w:rsidRPr="002A6BA8">
        <w:rPr>
          <w:vertAlign w:val="subscript"/>
          <w:lang w:val="en-GB"/>
        </w:rPr>
        <w:t>(</w:t>
      </w:r>
      <w:r w:rsidRPr="002A6BA8">
        <w:rPr>
          <w:rFonts w:ascii="Cambria Math" w:hAnsi="Cambria Math" w:cs="Cambria Math"/>
          <w:vertAlign w:val="subscript"/>
          <w:lang w:val="en-GB"/>
        </w:rPr>
        <w:t>𝜏</w:t>
      </w:r>
      <w:r w:rsidRPr="002A6BA8">
        <w:rPr>
          <w:vertAlign w:val="subscript"/>
          <w:lang w:val="en-GB"/>
        </w:rPr>
        <w:t>,</w:t>
      </w:r>
      <w:r w:rsidRPr="002A6BA8">
        <w:rPr>
          <w:rFonts w:ascii="Cambria Math" w:hAnsi="Cambria Math" w:cs="Cambria Math"/>
          <w:vertAlign w:val="subscript"/>
          <w:lang w:val="en-GB"/>
        </w:rPr>
        <w:t>𝜆</w:t>
      </w:r>
      <w:r w:rsidRPr="002A6BA8">
        <w:rPr>
          <w:vertAlign w:val="subscript"/>
          <w:lang w:val="en-GB"/>
        </w:rPr>
        <w:t>)</w:t>
      </w:r>
      <w:r w:rsidRPr="002A6BA8">
        <w:rPr>
          <w:lang w:val="en-GB"/>
        </w:rPr>
        <w:t>)</w:t>
      </w:r>
      <w:r w:rsidR="00CF4E7F" w:rsidRPr="002A6BA8">
        <w:rPr>
          <w:lang w:val="en-GB"/>
        </w:rPr>
        <w:t xml:space="preserve">, </w:t>
      </w:r>
      <w:r w:rsidRPr="002A6BA8">
        <w:rPr>
          <w:lang w:val="en-GB"/>
        </w:rPr>
        <w:t>where I</w:t>
      </w:r>
      <w:r w:rsidRPr="002A6BA8">
        <w:rPr>
          <w:i/>
          <w:iCs/>
          <w:vertAlign w:val="subscript"/>
          <w:lang w:val="en-GB"/>
        </w:rPr>
        <w:t>probe</w:t>
      </w:r>
      <w:r w:rsidRPr="002A6BA8">
        <w:rPr>
          <w:i/>
          <w:iCs/>
          <w:lang w:val="en-GB"/>
        </w:rPr>
        <w:t xml:space="preserve"> </w:t>
      </w:r>
      <w:r w:rsidRPr="002A6BA8">
        <w:rPr>
          <w:lang w:val="en-GB"/>
        </w:rPr>
        <w:t>is the transmitted probe with excitation off and I</w:t>
      </w:r>
      <w:r w:rsidRPr="002A6BA8">
        <w:rPr>
          <w:i/>
          <w:iCs/>
          <w:vertAlign w:val="subscript"/>
          <w:lang w:val="en-GB"/>
        </w:rPr>
        <w:t>t</w:t>
      </w:r>
      <w:r w:rsidRPr="002A6BA8">
        <w:rPr>
          <w:i/>
          <w:iCs/>
          <w:lang w:val="en-GB"/>
        </w:rPr>
        <w:t xml:space="preserve"> </w:t>
      </w:r>
      <w:r w:rsidRPr="002A6BA8">
        <w:rPr>
          <w:lang w:val="en-GB"/>
        </w:rPr>
        <w:t xml:space="preserve">is the transmitted probe after laser excitation. </w:t>
      </w:r>
      <w:r w:rsidRPr="002A6BA8">
        <w:t xml:space="preserve">The minimum detectable optical density of the LP980-KS using the photomultiplier is </w:t>
      </w:r>
      <w:r w:rsidRPr="002A6BA8">
        <w:rPr>
          <w:rFonts w:ascii="Symbol" w:hAnsi="Symbol"/>
        </w:rPr>
        <w:t></w:t>
      </w:r>
      <w:r w:rsidRPr="002A6BA8">
        <w:t xml:space="preserve">OD = 0.002 (single shot, fast detector option) with a system overall response function of: &lt;7ns (laser limited). </w:t>
      </w:r>
      <w:r w:rsidR="00CF4E7F" w:rsidRPr="002A6BA8">
        <w:t xml:space="preserve">For </w:t>
      </w:r>
      <w:r w:rsidR="007E0EAA" w:rsidRPr="002A6BA8">
        <w:t>PL</w:t>
      </w:r>
      <w:r w:rsidR="00D71E06" w:rsidRPr="002A6BA8">
        <w:t xml:space="preserve"> </w:t>
      </w:r>
      <w:r w:rsidR="00CF4E7F" w:rsidRPr="002A6BA8">
        <w:t xml:space="preserve">measurements the probe light was blocked and the emission upon pump excitation has been collected. </w:t>
      </w:r>
      <w:r w:rsidR="005223A1" w:rsidRPr="002A6BA8">
        <w:t>Considering an excitation at 370 nm and a large spot size (r=0.03m</w:t>
      </w:r>
      <w:r w:rsidR="00A04625" w:rsidRPr="002A6BA8">
        <w:t>)</w:t>
      </w:r>
      <w:r w:rsidR="005223A1" w:rsidRPr="002A6BA8">
        <w:t xml:space="preserve"> and a shorter penetration depth of around 100 nm, we retrieved for 50</w:t>
      </w:r>
      <w:r w:rsidR="00F3113F" w:rsidRPr="002A6BA8">
        <w:t xml:space="preserve"> </w:t>
      </w:r>
      <w:r w:rsidR="005223A1" w:rsidRPr="002A6BA8">
        <w:t>nJ/cm</w:t>
      </w:r>
      <w:r w:rsidR="005223A1" w:rsidRPr="002A6BA8">
        <w:rPr>
          <w:vertAlign w:val="superscript"/>
        </w:rPr>
        <w:t>2</w:t>
      </w:r>
      <w:r w:rsidR="005223A1" w:rsidRPr="002A6BA8">
        <w:t xml:space="preserve"> a carrier density of ≈10</w:t>
      </w:r>
      <w:r w:rsidR="005223A1" w:rsidRPr="002A6BA8">
        <w:rPr>
          <w:vertAlign w:val="superscript"/>
        </w:rPr>
        <w:t>16</w:t>
      </w:r>
      <w:r w:rsidR="005223A1" w:rsidRPr="002A6BA8">
        <w:t xml:space="preserve"> carrier/cm</w:t>
      </w:r>
      <w:r w:rsidR="005223A1" w:rsidRPr="002A6BA8">
        <w:rPr>
          <w:vertAlign w:val="superscript"/>
        </w:rPr>
        <w:t>3</w:t>
      </w:r>
      <w:r w:rsidR="005223A1" w:rsidRPr="002A6BA8">
        <w:t xml:space="preserve">. </w:t>
      </w:r>
      <w:r w:rsidR="00CF4E7F" w:rsidRPr="002A6BA8">
        <w:t>All measurements were taken with the samples encapsulated with PMMA to prevent any effect from oxygen or sample degradation.</w:t>
      </w:r>
      <w:r w:rsidR="005223A1" w:rsidRPr="002A6BA8">
        <w:t xml:space="preserve"> </w:t>
      </w:r>
    </w:p>
    <w:p w:rsidR="00CF4E7F" w:rsidRPr="002A6BA8" w:rsidRDefault="007F5DA6" w:rsidP="00A92DE8">
      <w:pPr>
        <w:pStyle w:val="ExperimentalText"/>
      </w:pPr>
      <w:r w:rsidRPr="002A6BA8">
        <w:rPr>
          <w:i/>
        </w:rPr>
        <w:t>fs-</w:t>
      </w:r>
      <w:r w:rsidR="00CF4E7F" w:rsidRPr="002A6BA8">
        <w:rPr>
          <w:i/>
        </w:rPr>
        <w:t xml:space="preserve"> Transient Absorption Spectroscopy</w:t>
      </w:r>
      <w:r w:rsidRPr="002A6BA8">
        <w:rPr>
          <w:i/>
        </w:rPr>
        <w:t>:</w:t>
      </w:r>
      <w:r w:rsidR="00CF4E7F" w:rsidRPr="002A6BA8">
        <w:t xml:space="preserve"> Our femtosecond TA spectrometer </w:t>
      </w:r>
      <w:r w:rsidR="00D71E06" w:rsidRPr="002A6BA8">
        <w:t xml:space="preserve">starts </w:t>
      </w:r>
      <w:r w:rsidR="00CF4E7F" w:rsidRPr="002A6BA8">
        <w:t xml:space="preserve">with an amplified Ti:sapphire laser, generating 4 mJ, 100 fs pulses at </w:t>
      </w:r>
      <w:r w:rsidR="00CF4E7F" w:rsidRPr="002A6BA8">
        <w:rPr>
          <w:rFonts w:ascii="Symbol" w:hAnsi="Symbol"/>
        </w:rPr>
        <w:t></w:t>
      </w:r>
      <w:r w:rsidR="00CF4E7F" w:rsidRPr="002A6BA8">
        <w:t xml:space="preserve">=800 nm and 1 kHz repetition </w:t>
      </w:r>
      <w:r w:rsidR="00CF4E7F" w:rsidRPr="002A6BA8">
        <w:lastRenderedPageBreak/>
        <w:t xml:space="preserve">rate. A 300 </w:t>
      </w:r>
      <w:r w:rsidR="00D71E06" w:rsidRPr="002A6BA8">
        <w:sym w:font="Symbol" w:char="F06D"/>
      </w:r>
      <w:r w:rsidR="00CF4E7F" w:rsidRPr="002A6BA8">
        <w:t>J fraction of the pulse energy was used for the experiments and split into two beams. The first beam fed an optical parametric amplifier</w:t>
      </w:r>
      <w:r w:rsidR="00A04625" w:rsidRPr="002A6BA8">
        <w:t xml:space="preserve"> (OPA)</w:t>
      </w:r>
      <w:r w:rsidR="00CF4E7F" w:rsidRPr="002A6BA8">
        <w:t>, which generated tunable pump pulses in the visible region with about 70 fs duration; the second beam was focused in a transparent crystal, which generated a broadband white-light continuum (WLC) that spanned from 350nm to 780nm range and was used as a probe. A 3 mm thick CaF</w:t>
      </w:r>
      <w:r w:rsidR="00CF4E7F" w:rsidRPr="002A6BA8">
        <w:rPr>
          <w:vertAlign w:val="subscript"/>
        </w:rPr>
        <w:t>2</w:t>
      </w:r>
      <w:r w:rsidR="00CF4E7F" w:rsidRPr="002A6BA8">
        <w:t xml:space="preserve"> plate was</w:t>
      </w:r>
      <w:r w:rsidR="008C506D" w:rsidRPr="002A6BA8">
        <w:t xml:space="preserve"> </w:t>
      </w:r>
      <w:r w:rsidR="00CF4E7F" w:rsidRPr="002A6BA8">
        <w:t>used to generate the WLC in the visible region. Pump and probe pulses were non</w:t>
      </w:r>
      <w:r w:rsidR="007E0EAA" w:rsidRPr="002A6BA8">
        <w:t>-</w:t>
      </w:r>
      <w:r w:rsidR="00CF4E7F" w:rsidRPr="002A6BA8">
        <w:t>collinearly focused on the sample and the transmitted probe, which was spatially selected by an iris, was</w:t>
      </w:r>
    </w:p>
    <w:p w:rsidR="00CF4E7F" w:rsidRPr="002A6BA8" w:rsidRDefault="00CF4E7F" w:rsidP="00A92DE8">
      <w:pPr>
        <w:pStyle w:val="ExperimentalText"/>
      </w:pPr>
      <w:r w:rsidRPr="002A6BA8">
        <w:t>sent to a spectrometer (silicon for the visible range) capable of single-shot detection at the full 1 kHz repetition rate of the laser. The differential transmission (</w:t>
      </w:r>
      <w:r w:rsidRPr="002A6BA8">
        <w:rPr>
          <w:rFonts w:ascii="Symbol" w:hAnsi="Symbol"/>
        </w:rPr>
        <w:t></w:t>
      </w:r>
      <w:r w:rsidRPr="002A6BA8">
        <w:t xml:space="preserve">T/T) spectrum was obtained by recording the probe spectrum with and without the pump pulse. The pump beam energy density used in the experiment was deliberately kept low (pump fluence </w:t>
      </w:r>
      <w:r w:rsidR="00D20655" w:rsidRPr="002A6BA8">
        <w:t>of</w:t>
      </w:r>
    </w:p>
    <w:p w:rsidR="007F5DA6" w:rsidRPr="002A6BA8" w:rsidRDefault="00D20655" w:rsidP="00A92DE8">
      <w:pPr>
        <w:pStyle w:val="ExperimentalText"/>
      </w:pPr>
      <w:r w:rsidRPr="002A6BA8">
        <w:t>4.7 μJcm</w:t>
      </w:r>
      <w:r w:rsidRPr="002A6BA8">
        <w:rPr>
          <w:vertAlign w:val="superscript"/>
        </w:rPr>
        <w:t>-2</w:t>
      </w:r>
      <w:r w:rsidRPr="002A6BA8">
        <w:t xml:space="preserve">, which resulted in excitation densities in the order of </w:t>
      </w:r>
      <w:r w:rsidR="00A95E0E" w:rsidRPr="002A6BA8">
        <w:t>10</w:t>
      </w:r>
      <w:r w:rsidR="00A95E0E" w:rsidRPr="002A6BA8">
        <w:rPr>
          <w:vertAlign w:val="superscript"/>
        </w:rPr>
        <w:t>18</w:t>
      </w:r>
      <w:r w:rsidR="00A95E0E" w:rsidRPr="002A6BA8">
        <w:t xml:space="preserve"> </w:t>
      </w:r>
      <w:r w:rsidRPr="002A6BA8">
        <w:t>cm</w:t>
      </w:r>
      <w:r w:rsidRPr="002A6BA8">
        <w:rPr>
          <w:vertAlign w:val="superscript"/>
        </w:rPr>
        <w:t>-3</w:t>
      </w:r>
      <w:r w:rsidR="005223A1" w:rsidRPr="002A6BA8">
        <w:t>, see Supp</w:t>
      </w:r>
      <w:r w:rsidR="008C506D" w:rsidRPr="002A6BA8">
        <w:t>orting</w:t>
      </w:r>
      <w:r w:rsidR="005223A1" w:rsidRPr="002A6BA8">
        <w:t xml:space="preserve"> Information for a detailed calculation of this value)</w:t>
      </w:r>
      <w:r w:rsidRPr="002A6BA8">
        <w:t>.</w:t>
      </w:r>
      <w:r w:rsidR="00CF4E7F" w:rsidRPr="002A6BA8">
        <w:t xml:space="preserve"> All measurements were taken with the samples encapsulated with PMMA to prevent any effect from oxygen or sample degradation.</w:t>
      </w:r>
    </w:p>
    <w:p w:rsidR="007F5DA6" w:rsidRPr="002A6BA8" w:rsidRDefault="007F5DA6" w:rsidP="008A67F0">
      <w:pPr>
        <w:pStyle w:val="ExperimentalText"/>
      </w:pPr>
    </w:p>
    <w:p w:rsidR="00A85887" w:rsidRPr="002A6BA8" w:rsidRDefault="00A85887" w:rsidP="008A67F0">
      <w:pPr>
        <w:pStyle w:val="Acknowledgements"/>
        <w:spacing w:line="480" w:lineRule="auto"/>
        <w:rPr>
          <w:i/>
        </w:rPr>
      </w:pPr>
      <w:r w:rsidRPr="002A6BA8">
        <w:rPr>
          <w:b/>
        </w:rPr>
        <w:t>Supporting Information</w:t>
      </w:r>
    </w:p>
    <w:p w:rsidR="00A85887" w:rsidRPr="002A6BA8" w:rsidRDefault="00A85887" w:rsidP="008A67F0">
      <w:pPr>
        <w:pStyle w:val="Acknowledgements"/>
        <w:spacing w:line="480" w:lineRule="auto"/>
      </w:pPr>
      <w:r w:rsidRPr="002A6BA8">
        <w:t>Supporting Information is available from the Wiley Online Library or from the author.</w:t>
      </w:r>
    </w:p>
    <w:p w:rsidR="00250F21" w:rsidRPr="002A6BA8" w:rsidRDefault="00250F21" w:rsidP="008A67F0">
      <w:pPr>
        <w:pStyle w:val="Acknowledgements"/>
        <w:spacing w:line="480" w:lineRule="auto"/>
      </w:pPr>
    </w:p>
    <w:p w:rsidR="00250F21" w:rsidRPr="002A6BA8" w:rsidRDefault="00250F21" w:rsidP="008A67F0">
      <w:pPr>
        <w:pStyle w:val="Acknowledgements"/>
        <w:spacing w:line="480" w:lineRule="auto"/>
      </w:pPr>
    </w:p>
    <w:p w:rsidR="002D16A0" w:rsidRPr="002A6BA8" w:rsidRDefault="002D16A0" w:rsidP="008A67F0">
      <w:pPr>
        <w:pStyle w:val="Head1"/>
        <w:spacing w:line="480" w:lineRule="auto"/>
      </w:pPr>
      <w:r w:rsidRPr="002A6BA8">
        <w:t>Acknowledgements</w:t>
      </w:r>
    </w:p>
    <w:p w:rsidR="007B18D9" w:rsidRPr="002A6BA8" w:rsidRDefault="00BD1BD3" w:rsidP="008A67F0">
      <w:pPr>
        <w:pStyle w:val="MainText"/>
        <w:rPr>
          <w:lang w:val="de-DE"/>
        </w:rPr>
      </w:pPr>
      <w:r w:rsidRPr="002A6BA8">
        <w:rPr>
          <w:rFonts w:ascii="Times" w:hAnsi="Times"/>
          <w:lang w:val="de-DE"/>
        </w:rPr>
        <w:t>We thank the European Commission H2020-SOLEDLIGHT project, grant agreement N°: 643791 for finan</w:t>
      </w:r>
      <w:r w:rsidR="008D28E8" w:rsidRPr="002A6BA8">
        <w:rPr>
          <w:rFonts w:ascii="Times" w:hAnsi="Times"/>
          <w:lang w:val="de-DE"/>
        </w:rPr>
        <w:t>c</w:t>
      </w:r>
      <w:r w:rsidRPr="002A6BA8">
        <w:rPr>
          <w:rFonts w:ascii="Times" w:hAnsi="Times"/>
          <w:lang w:val="de-DE"/>
        </w:rPr>
        <w:t xml:space="preserve">ial support. </w:t>
      </w:r>
      <w:r w:rsidR="007B18D9" w:rsidRPr="002A6BA8">
        <w:t xml:space="preserve">G.G. acknowledges the </w:t>
      </w:r>
      <w:r w:rsidR="007B18D9" w:rsidRPr="002A6BA8">
        <w:rPr>
          <w:lang w:val="de-DE"/>
        </w:rPr>
        <w:t>Swiss National Science Foundation (SNSF)</w:t>
      </w:r>
      <w:r w:rsidR="007B18D9" w:rsidRPr="002A6BA8">
        <w:t xml:space="preserve"> funding through the Ambizione Energy project HYPER (grant number</w:t>
      </w:r>
      <w:r w:rsidR="00303C6E" w:rsidRPr="002A6BA8">
        <w:t xml:space="preserve"> </w:t>
      </w:r>
      <w:r w:rsidR="007B18D9" w:rsidRPr="002A6BA8">
        <w:rPr>
          <w:lang w:val="de-DE"/>
        </w:rPr>
        <w:t>PZENP2_173641</w:t>
      </w:r>
      <w:r w:rsidR="007B18D9" w:rsidRPr="002A6BA8">
        <w:t>)</w:t>
      </w:r>
      <w:r w:rsidR="007E0EAA" w:rsidRPr="002A6BA8">
        <w:t>. G.C. acknowledges support by the European Union Horizon 2020 Programme under Grant Agreement No. 696656 Graphene Flagship.</w:t>
      </w:r>
      <w:r w:rsidR="00303C6E" w:rsidRPr="002A6BA8">
        <w:t xml:space="preserve"> </w:t>
      </w:r>
      <w:r w:rsidR="00F95157" w:rsidRPr="002A6BA8">
        <w:t xml:space="preserve">This work was partially supported by MINECO (Ministerio de Econom&amp;a y Competitividad, Spain) under Grant </w:t>
      </w:r>
      <w:r w:rsidR="00F95157" w:rsidRPr="002A6BA8">
        <w:lastRenderedPageBreak/>
        <w:t xml:space="preserve">Agreement MAT2013-47192-C3-2-R. The authors acknowledge </w:t>
      </w:r>
      <w:r w:rsidR="005026C0" w:rsidRPr="002A6BA8">
        <w:t xml:space="preserve">Dr. Daniele Viola, </w:t>
      </w:r>
      <w:r w:rsidR="00F95157" w:rsidRPr="002A6BA8">
        <w:t xml:space="preserve">Dr. Mariateresa Scarongella and Mr. Sadig </w:t>
      </w:r>
      <w:r w:rsidR="00F95157" w:rsidRPr="002A6BA8">
        <w:rPr>
          <w:lang w:val="de-DE"/>
        </w:rPr>
        <w:t>Aghazada for usewful discussion.</w:t>
      </w:r>
    </w:p>
    <w:p w:rsidR="003A66D3" w:rsidRPr="002A6BA8" w:rsidRDefault="003A66D3" w:rsidP="008A67F0">
      <w:pPr>
        <w:pStyle w:val="MainText"/>
        <w:rPr>
          <w:lang w:val="de-DE"/>
        </w:rPr>
      </w:pPr>
    </w:p>
    <w:p w:rsidR="00004A23" w:rsidRPr="002A6BA8" w:rsidRDefault="00004A23" w:rsidP="008A67F0">
      <w:pPr>
        <w:pStyle w:val="dates"/>
        <w:spacing w:line="480" w:lineRule="auto"/>
        <w:jc w:val="left"/>
      </w:pPr>
      <w:r w:rsidRPr="002A6BA8">
        <w:t>Received: ((will be filled in by the editorial staff))</w:t>
      </w:r>
      <w:r w:rsidRPr="002A6BA8">
        <w:br/>
        <w:t>Revised: ((will be filled in by the editorial staff))</w:t>
      </w:r>
      <w:r w:rsidRPr="002A6BA8">
        <w:br/>
        <w:t>Published online: ((will be filled in by the editorial staff))</w:t>
      </w:r>
    </w:p>
    <w:p w:rsidR="00DB60D3" w:rsidRPr="002A6BA8" w:rsidRDefault="00DB60D3" w:rsidP="008A67F0">
      <w:pPr>
        <w:pStyle w:val="dates"/>
        <w:spacing w:line="480" w:lineRule="auto"/>
        <w:jc w:val="left"/>
      </w:pPr>
    </w:p>
    <w:p w:rsidR="00F3113F" w:rsidRPr="002A6BA8" w:rsidRDefault="00F3113F" w:rsidP="008A67F0">
      <w:pPr>
        <w:pStyle w:val="dates"/>
        <w:spacing w:line="480" w:lineRule="auto"/>
        <w:jc w:val="left"/>
      </w:pPr>
    </w:p>
    <w:p w:rsidR="00772D5A" w:rsidRPr="002A6BA8" w:rsidRDefault="00772D5A" w:rsidP="008A67F0">
      <w:pPr>
        <w:pStyle w:val="dates"/>
        <w:spacing w:line="480" w:lineRule="auto"/>
        <w:jc w:val="left"/>
      </w:pPr>
    </w:p>
    <w:p w:rsidR="00772D5A" w:rsidRPr="002A6BA8" w:rsidRDefault="00772D5A" w:rsidP="008A67F0">
      <w:pPr>
        <w:pStyle w:val="dates"/>
        <w:spacing w:line="480" w:lineRule="auto"/>
        <w:jc w:val="left"/>
      </w:pPr>
    </w:p>
    <w:p w:rsidR="00295925" w:rsidRPr="002A6BA8" w:rsidRDefault="007A650B" w:rsidP="00F3113F">
      <w:pPr>
        <w:pStyle w:val="MainText"/>
        <w:rPr>
          <w:b/>
        </w:rPr>
      </w:pPr>
      <w:r w:rsidRPr="002A6BA8">
        <w:rPr>
          <w:b/>
        </w:rPr>
        <w:t>References</w:t>
      </w:r>
    </w:p>
    <w:p w:rsidR="00CE076A" w:rsidRPr="002A6BA8" w:rsidRDefault="00CE0F5F" w:rsidP="00F3113F">
      <w:pPr>
        <w:pStyle w:val="Bibliography"/>
        <w:spacing w:line="480" w:lineRule="auto"/>
      </w:pPr>
      <w:r w:rsidRPr="002A6BA8">
        <w:fldChar w:fldCharType="begin"/>
      </w:r>
      <w:r w:rsidR="00331BAE" w:rsidRPr="002A6BA8">
        <w:instrText xml:space="preserve"> ADDIN ZOTERO_BIBL {"custom":[]} CSL_BIBLIOGRAPHY </w:instrText>
      </w:r>
      <w:r w:rsidRPr="002A6BA8">
        <w:fldChar w:fldCharType="separate"/>
      </w:r>
      <w:r w:rsidR="00CE076A" w:rsidRPr="002A6BA8">
        <w:t>[1]</w:t>
      </w:r>
      <w:r w:rsidR="00CE076A" w:rsidRPr="002A6BA8">
        <w:tab/>
        <w:t xml:space="preserve">M. Saliba, T. Matsui, K. Domanski, J.-Y. Seo, A. Ummadisingu, S. M. Zakeeruddin, J.-P. Correa-Baena, W. R. Tress, A. Abate, A. Hagfeldt, M. Grätzel, </w:t>
      </w:r>
      <w:r w:rsidR="00CE076A" w:rsidRPr="002A6BA8">
        <w:rPr>
          <w:i/>
          <w:iCs/>
        </w:rPr>
        <w:t>Science</w:t>
      </w:r>
      <w:r w:rsidR="00CE076A" w:rsidRPr="002A6BA8">
        <w:t xml:space="preserve"> </w:t>
      </w:r>
      <w:r w:rsidR="00CE076A" w:rsidRPr="002A6BA8">
        <w:rPr>
          <w:b/>
          <w:bCs/>
        </w:rPr>
        <w:t>2016</w:t>
      </w:r>
      <w:r w:rsidR="00CE076A" w:rsidRPr="002A6BA8">
        <w:t xml:space="preserve">, </w:t>
      </w:r>
      <w:r w:rsidR="00CE076A" w:rsidRPr="002A6BA8">
        <w:rPr>
          <w:i/>
          <w:iCs/>
        </w:rPr>
        <w:t>354</w:t>
      </w:r>
      <w:r w:rsidR="00CE076A" w:rsidRPr="002A6BA8">
        <w:t>, 206.</w:t>
      </w:r>
    </w:p>
    <w:p w:rsidR="00CE076A" w:rsidRPr="002A6BA8" w:rsidRDefault="00CE076A" w:rsidP="00F3113F">
      <w:pPr>
        <w:pStyle w:val="Bibliography"/>
        <w:spacing w:line="480" w:lineRule="auto"/>
      </w:pPr>
      <w:r w:rsidRPr="002A6BA8">
        <w:t>[2]</w:t>
      </w:r>
      <w:r w:rsidRPr="002A6BA8">
        <w:tab/>
        <w:t xml:space="preserve">J.-P. Correa-Baena, A. Abate, M. Saliba, W. Tress, T. J. Jacobsson, M. Grätzel, A. Hagfeldt, </w:t>
      </w:r>
      <w:r w:rsidRPr="002A6BA8">
        <w:rPr>
          <w:i/>
          <w:iCs/>
        </w:rPr>
        <w:t>Energy Environ. Sci.</w:t>
      </w:r>
      <w:r w:rsidRPr="002A6BA8">
        <w:t xml:space="preserve"> </w:t>
      </w:r>
      <w:r w:rsidRPr="002A6BA8">
        <w:rPr>
          <w:b/>
          <w:bCs/>
        </w:rPr>
        <w:t>2017</w:t>
      </w:r>
      <w:r w:rsidRPr="002A6BA8">
        <w:t xml:space="preserve">, </w:t>
      </w:r>
      <w:r w:rsidR="002A6BA8" w:rsidRPr="002A6BA8">
        <w:rPr>
          <w:i/>
        </w:rPr>
        <w:t>1</w:t>
      </w:r>
      <w:r w:rsidR="002A6BA8" w:rsidRPr="002A6BA8">
        <w:rPr>
          <w:bCs/>
          <w:i/>
        </w:rPr>
        <w:t>0</w:t>
      </w:r>
      <w:r w:rsidR="002A6BA8" w:rsidRPr="002A6BA8">
        <w:rPr>
          <w:i/>
        </w:rPr>
        <w:t>, 710-727 </w:t>
      </w:r>
      <w:r w:rsidRPr="002A6BA8">
        <w:t>.</w:t>
      </w:r>
    </w:p>
    <w:p w:rsidR="00CE076A" w:rsidRPr="002A6BA8" w:rsidRDefault="00CE076A" w:rsidP="00F3113F">
      <w:pPr>
        <w:pStyle w:val="Bibliography"/>
        <w:spacing w:line="480" w:lineRule="auto"/>
      </w:pPr>
      <w:r w:rsidRPr="002A6BA8">
        <w:t>[3]</w:t>
      </w:r>
      <w:r w:rsidRPr="002A6BA8">
        <w:tab/>
        <w:t xml:space="preserve">W. S. Yang, B.-W. Park, E. H. Jung, N. J. Jeon, Y. C. Kim, D. U. Lee, S. S. Shin, J. Seo, E. K. Kim, J. H. Noh, S. I. Seok, </w:t>
      </w:r>
      <w:r w:rsidRPr="002A6BA8">
        <w:rPr>
          <w:i/>
          <w:iCs/>
        </w:rPr>
        <w:t>Science</w:t>
      </w:r>
      <w:r w:rsidRPr="002A6BA8">
        <w:t xml:space="preserve"> </w:t>
      </w:r>
      <w:r w:rsidRPr="002A6BA8">
        <w:rPr>
          <w:b/>
          <w:bCs/>
        </w:rPr>
        <w:t>2017</w:t>
      </w:r>
      <w:r w:rsidRPr="002A6BA8">
        <w:t xml:space="preserve">, </w:t>
      </w:r>
      <w:r w:rsidRPr="002A6BA8">
        <w:rPr>
          <w:i/>
          <w:iCs/>
        </w:rPr>
        <w:t>356</w:t>
      </w:r>
      <w:r w:rsidRPr="002A6BA8">
        <w:t>, 1376.</w:t>
      </w:r>
    </w:p>
    <w:p w:rsidR="00CE076A" w:rsidRPr="002A6BA8" w:rsidRDefault="00CE076A" w:rsidP="00F3113F">
      <w:pPr>
        <w:pStyle w:val="Bibliography"/>
        <w:spacing w:line="480" w:lineRule="auto"/>
      </w:pPr>
      <w:r w:rsidRPr="002A6BA8">
        <w:t>[4]</w:t>
      </w:r>
      <w:r w:rsidRPr="002A6BA8">
        <w:tab/>
      </w:r>
      <w:r w:rsidRPr="002A6BA8">
        <w:rPr>
          <w:i/>
          <w:iCs/>
        </w:rPr>
        <w:t>Http://www.nrel.gov/ncpv/images/efficiency_chart.jpg.</w:t>
      </w:r>
      <w:r w:rsidRPr="002A6BA8">
        <w:t xml:space="preserve">, </w:t>
      </w:r>
      <w:r w:rsidRPr="002A6BA8">
        <w:rPr>
          <w:b/>
          <w:bCs/>
        </w:rPr>
        <w:t>n.d.</w:t>
      </w:r>
    </w:p>
    <w:p w:rsidR="00CE076A" w:rsidRPr="002A6BA8" w:rsidRDefault="00CE076A" w:rsidP="00F3113F">
      <w:pPr>
        <w:pStyle w:val="Bibliography"/>
        <w:spacing w:line="480" w:lineRule="auto"/>
      </w:pPr>
      <w:r w:rsidRPr="002A6BA8">
        <w:t>[5]</w:t>
      </w:r>
      <w:r w:rsidRPr="002A6BA8">
        <w:tab/>
        <w:t xml:space="preserve">M. M. Lee, J. Teuscher, T. Miyasaka, T. N. Murakami, H. J. Snaith, </w:t>
      </w:r>
      <w:r w:rsidRPr="002A6BA8">
        <w:rPr>
          <w:i/>
          <w:iCs/>
        </w:rPr>
        <w:t>Science</w:t>
      </w:r>
      <w:r w:rsidRPr="002A6BA8">
        <w:t xml:space="preserve"> </w:t>
      </w:r>
      <w:r w:rsidRPr="002A6BA8">
        <w:rPr>
          <w:b/>
          <w:bCs/>
        </w:rPr>
        <w:t>2012</w:t>
      </w:r>
      <w:r w:rsidRPr="002A6BA8">
        <w:t xml:space="preserve">, </w:t>
      </w:r>
      <w:r w:rsidRPr="002A6BA8">
        <w:rPr>
          <w:i/>
          <w:iCs/>
        </w:rPr>
        <w:t>338</w:t>
      </w:r>
      <w:r w:rsidRPr="002A6BA8">
        <w:t>, 643.</w:t>
      </w:r>
    </w:p>
    <w:p w:rsidR="00CE076A" w:rsidRPr="002A6BA8" w:rsidRDefault="00CE076A" w:rsidP="00F3113F">
      <w:pPr>
        <w:pStyle w:val="Bibliography"/>
        <w:spacing w:line="480" w:lineRule="auto"/>
      </w:pPr>
      <w:r w:rsidRPr="002A6BA8">
        <w:t>[6]</w:t>
      </w:r>
      <w:r w:rsidRPr="002A6BA8">
        <w:tab/>
        <w:t xml:space="preserve">C. Roldan-Carmona, P. Gratia, I. Zimmermann, G. Grancini, P. Gao, M. Graetzel, M. K. Nazeeruddin, </w:t>
      </w:r>
      <w:r w:rsidRPr="002A6BA8">
        <w:rPr>
          <w:i/>
          <w:iCs/>
        </w:rPr>
        <w:t>Energy Environ. Sci.</w:t>
      </w:r>
      <w:r w:rsidRPr="002A6BA8">
        <w:t xml:space="preserve"> </w:t>
      </w:r>
      <w:r w:rsidRPr="002A6BA8">
        <w:rPr>
          <w:b/>
          <w:bCs/>
        </w:rPr>
        <w:t>2015</w:t>
      </w:r>
      <w:r w:rsidRPr="002A6BA8">
        <w:t xml:space="preserve">, </w:t>
      </w:r>
      <w:r w:rsidRPr="002A6BA8">
        <w:rPr>
          <w:i/>
          <w:iCs/>
        </w:rPr>
        <w:t>8</w:t>
      </w:r>
      <w:r w:rsidRPr="002A6BA8">
        <w:t>, 3550.</w:t>
      </w:r>
    </w:p>
    <w:p w:rsidR="00CE076A" w:rsidRPr="002A6BA8" w:rsidRDefault="00CE076A" w:rsidP="00F3113F">
      <w:pPr>
        <w:pStyle w:val="Bibliography"/>
        <w:spacing w:line="480" w:lineRule="auto"/>
      </w:pPr>
      <w:r w:rsidRPr="002A6BA8">
        <w:t>[7]</w:t>
      </w:r>
      <w:r w:rsidRPr="002A6BA8">
        <w:tab/>
        <w:t xml:space="preserve">Z. Zhu, J. Ma, Z. Wang, C. Mu, Z. Fan, L. Du, Y. Bai, L. Fan, H. Yan, D. L. Phillips, S. Yang, </w:t>
      </w:r>
      <w:r w:rsidRPr="002A6BA8">
        <w:rPr>
          <w:i/>
          <w:iCs/>
        </w:rPr>
        <w:t>J. Am. Chem. Soc.</w:t>
      </w:r>
      <w:r w:rsidRPr="002A6BA8">
        <w:t xml:space="preserve"> </w:t>
      </w:r>
      <w:r w:rsidRPr="002A6BA8">
        <w:rPr>
          <w:b/>
          <w:bCs/>
        </w:rPr>
        <w:t>2014</w:t>
      </w:r>
      <w:r w:rsidRPr="002A6BA8">
        <w:t xml:space="preserve">, </w:t>
      </w:r>
      <w:r w:rsidRPr="002A6BA8">
        <w:rPr>
          <w:i/>
          <w:iCs/>
        </w:rPr>
        <w:t>136</w:t>
      </w:r>
      <w:r w:rsidRPr="002A6BA8">
        <w:t>, 3760.</w:t>
      </w:r>
    </w:p>
    <w:p w:rsidR="00CE076A" w:rsidRPr="002A6BA8" w:rsidRDefault="00CE076A" w:rsidP="00F3113F">
      <w:pPr>
        <w:pStyle w:val="Bibliography"/>
        <w:spacing w:line="480" w:lineRule="auto"/>
      </w:pPr>
      <w:r w:rsidRPr="002A6BA8">
        <w:lastRenderedPageBreak/>
        <w:t>[8]</w:t>
      </w:r>
      <w:r w:rsidRPr="002A6BA8">
        <w:tab/>
        <w:t xml:space="preserve">K. T. Cho, G. Grancini, Y. Lee, D. Konios, S. Paek, E. Kymakis, M. K. Nazeeruddin, </w:t>
      </w:r>
      <w:r w:rsidRPr="002A6BA8">
        <w:rPr>
          <w:i/>
          <w:iCs/>
        </w:rPr>
        <w:t>ChemSusChem</w:t>
      </w:r>
      <w:r w:rsidRPr="002A6BA8">
        <w:t xml:space="preserve"> </w:t>
      </w:r>
      <w:r w:rsidRPr="002A6BA8">
        <w:rPr>
          <w:b/>
          <w:bCs/>
        </w:rPr>
        <w:t>2016</w:t>
      </w:r>
      <w:r w:rsidRPr="002A6BA8">
        <w:t xml:space="preserve">, </w:t>
      </w:r>
      <w:r w:rsidRPr="002A6BA8">
        <w:rPr>
          <w:i/>
          <w:iCs/>
        </w:rPr>
        <w:t>9</w:t>
      </w:r>
      <w:r w:rsidRPr="002A6BA8">
        <w:t>, 3040.</w:t>
      </w:r>
    </w:p>
    <w:p w:rsidR="00CE076A" w:rsidRPr="002A6BA8" w:rsidRDefault="00CE076A" w:rsidP="00F3113F">
      <w:pPr>
        <w:pStyle w:val="Bibliography"/>
        <w:spacing w:line="480" w:lineRule="auto"/>
      </w:pPr>
      <w:r w:rsidRPr="002A6BA8">
        <w:t>[9]</w:t>
      </w:r>
      <w:r w:rsidRPr="002A6BA8">
        <w:tab/>
        <w:t xml:space="preserve">S. D. Stranks, G. E. Eperon, G. Grancini, C. Menelaou, M. J. Alcocer, T. Leijtens, L. M. Herz, A. Petrozza, H. J. Snaith, </w:t>
      </w:r>
      <w:r w:rsidRPr="002A6BA8">
        <w:rPr>
          <w:i/>
          <w:iCs/>
        </w:rPr>
        <w:t>Science</w:t>
      </w:r>
      <w:r w:rsidRPr="002A6BA8">
        <w:t xml:space="preserve"> </w:t>
      </w:r>
      <w:r w:rsidRPr="002A6BA8">
        <w:rPr>
          <w:b/>
          <w:bCs/>
        </w:rPr>
        <w:t>2013</w:t>
      </w:r>
      <w:r w:rsidRPr="002A6BA8">
        <w:t xml:space="preserve">, </w:t>
      </w:r>
      <w:r w:rsidRPr="002A6BA8">
        <w:rPr>
          <w:i/>
          <w:iCs/>
        </w:rPr>
        <w:t>342</w:t>
      </w:r>
      <w:r w:rsidRPr="002A6BA8">
        <w:t>, 341.</w:t>
      </w:r>
    </w:p>
    <w:p w:rsidR="00CE076A" w:rsidRPr="002A6BA8" w:rsidRDefault="00CE076A" w:rsidP="00F3113F">
      <w:pPr>
        <w:pStyle w:val="Bibliography"/>
        <w:spacing w:line="480" w:lineRule="auto"/>
      </w:pPr>
      <w:r w:rsidRPr="002A6BA8">
        <w:t>[10]</w:t>
      </w:r>
      <w:r w:rsidRPr="002A6BA8">
        <w:tab/>
        <w:t xml:space="preserve">M. F. N. Taufique, S. M. Mortuza, S. Banerjee, </w:t>
      </w:r>
      <w:r w:rsidRPr="002A6BA8">
        <w:rPr>
          <w:i/>
          <w:iCs/>
        </w:rPr>
        <w:t>J. Phys. Chem. C</w:t>
      </w:r>
      <w:r w:rsidRPr="002A6BA8">
        <w:t xml:space="preserve"> </w:t>
      </w:r>
      <w:r w:rsidRPr="002A6BA8">
        <w:rPr>
          <w:b/>
          <w:bCs/>
        </w:rPr>
        <w:t>2016</w:t>
      </w:r>
      <w:r w:rsidRPr="002A6BA8">
        <w:t xml:space="preserve">, </w:t>
      </w:r>
      <w:r w:rsidRPr="002A6BA8">
        <w:rPr>
          <w:i/>
          <w:iCs/>
        </w:rPr>
        <w:t>120</w:t>
      </w:r>
      <w:r w:rsidRPr="002A6BA8">
        <w:t>, 22426.</w:t>
      </w:r>
    </w:p>
    <w:p w:rsidR="00CE076A" w:rsidRPr="002A6BA8" w:rsidRDefault="00CE076A" w:rsidP="00F3113F">
      <w:pPr>
        <w:pStyle w:val="Bibliography"/>
        <w:spacing w:line="480" w:lineRule="auto"/>
      </w:pPr>
      <w:r w:rsidRPr="002A6BA8">
        <w:t>[11]</w:t>
      </w:r>
      <w:r w:rsidRPr="002A6BA8">
        <w:tab/>
        <w:t xml:space="preserve">C. Quarti, F. De Angelis, D. Beljonne, </w:t>
      </w:r>
      <w:r w:rsidRPr="002A6BA8">
        <w:rPr>
          <w:i/>
          <w:iCs/>
        </w:rPr>
        <w:t>Chem. Mater.</w:t>
      </w:r>
      <w:r w:rsidRPr="002A6BA8">
        <w:t xml:space="preserve"> </w:t>
      </w:r>
      <w:r w:rsidRPr="002A6BA8">
        <w:rPr>
          <w:b/>
          <w:bCs/>
        </w:rPr>
        <w:t>2017</w:t>
      </w:r>
      <w:r w:rsidRPr="002A6BA8">
        <w:t xml:space="preserve">, </w:t>
      </w:r>
      <w:r w:rsidR="002A6BA8" w:rsidRPr="002A6BA8">
        <w:rPr>
          <w:i/>
        </w:rPr>
        <w:t>29</w:t>
      </w:r>
      <w:r w:rsidR="002A6BA8" w:rsidRPr="002A6BA8">
        <w:t xml:space="preserve"> (3),</w:t>
      </w:r>
      <w:r w:rsidR="002A6BA8">
        <w:t xml:space="preserve"> </w:t>
      </w:r>
      <w:r w:rsidR="002A6BA8" w:rsidRPr="002A6BA8">
        <w:t>958–968</w:t>
      </w:r>
      <w:r w:rsidRPr="002A6BA8">
        <w:t>.</w:t>
      </w:r>
    </w:p>
    <w:p w:rsidR="00CE076A" w:rsidRPr="002A6BA8" w:rsidRDefault="00CE076A" w:rsidP="00F3113F">
      <w:pPr>
        <w:pStyle w:val="Bibliography"/>
        <w:spacing w:line="480" w:lineRule="auto"/>
      </w:pPr>
      <w:r w:rsidRPr="002A6BA8">
        <w:t>[12]</w:t>
      </w:r>
      <w:r w:rsidRPr="002A6BA8">
        <w:tab/>
        <w:t xml:space="preserve">Y. Shao, Z. Xiao, C. Bi, Y. Yuan, J. Huang, </w:t>
      </w:r>
      <w:r w:rsidRPr="002A6BA8">
        <w:rPr>
          <w:i/>
          <w:iCs/>
        </w:rPr>
        <w:t>Nat. Commun.</w:t>
      </w:r>
      <w:r w:rsidRPr="002A6BA8">
        <w:t xml:space="preserve"> </w:t>
      </w:r>
      <w:r w:rsidRPr="002A6BA8">
        <w:rPr>
          <w:b/>
          <w:bCs/>
        </w:rPr>
        <w:t>2014</w:t>
      </w:r>
      <w:r w:rsidRPr="002A6BA8">
        <w:t xml:space="preserve">, </w:t>
      </w:r>
      <w:r w:rsidRPr="002A6BA8">
        <w:rPr>
          <w:i/>
          <w:iCs/>
        </w:rPr>
        <w:t>5</w:t>
      </w:r>
      <w:r w:rsidRPr="002A6BA8">
        <w:t xml:space="preserve">, </w:t>
      </w:r>
      <w:r w:rsidR="002A6BA8">
        <w:t>578</w:t>
      </w:r>
      <w:r w:rsidRPr="002A6BA8">
        <w:t>.</w:t>
      </w:r>
    </w:p>
    <w:p w:rsidR="00CE076A" w:rsidRPr="002A6BA8" w:rsidRDefault="00CE076A" w:rsidP="00F3113F">
      <w:pPr>
        <w:pStyle w:val="Bibliography"/>
        <w:spacing w:line="480" w:lineRule="auto"/>
      </w:pPr>
      <w:r w:rsidRPr="002A6BA8">
        <w:t>[13]</w:t>
      </w:r>
      <w:r w:rsidRPr="002A6BA8">
        <w:tab/>
        <w:t xml:space="preserve">J. Xu, A. Buin, A. H. Ip, W. Li, O. Voznyy, R. Comin, M. Yuan, S. Jeon, Z. Ning, J. J. McDowell, P. Kanjanaboos, J.-P. Sun, X. Lan, L. N. Quan, D. H. Kim, I. G. Hill, P. Maksymovych, E. H. Sargent, </w:t>
      </w:r>
      <w:r w:rsidRPr="002A6BA8">
        <w:rPr>
          <w:i/>
          <w:iCs/>
        </w:rPr>
        <w:t>Nat. Commun.</w:t>
      </w:r>
      <w:r w:rsidRPr="002A6BA8">
        <w:t xml:space="preserve"> </w:t>
      </w:r>
      <w:r w:rsidRPr="002A6BA8">
        <w:rPr>
          <w:b/>
          <w:bCs/>
        </w:rPr>
        <w:t>2015</w:t>
      </w:r>
      <w:r w:rsidRPr="002A6BA8">
        <w:t xml:space="preserve">, </w:t>
      </w:r>
      <w:r w:rsidRPr="002A6BA8">
        <w:rPr>
          <w:i/>
          <w:iCs/>
        </w:rPr>
        <w:t>6</w:t>
      </w:r>
      <w:r w:rsidRPr="002A6BA8">
        <w:t>, 7081.</w:t>
      </w:r>
    </w:p>
    <w:p w:rsidR="00CE076A" w:rsidRPr="002A6BA8" w:rsidRDefault="00CE076A" w:rsidP="00F3113F">
      <w:pPr>
        <w:pStyle w:val="Bibliography"/>
        <w:spacing w:line="480" w:lineRule="auto"/>
      </w:pPr>
      <w:r w:rsidRPr="002A6BA8">
        <w:t>[14]</w:t>
      </w:r>
      <w:r w:rsidRPr="002A6BA8">
        <w:tab/>
        <w:t xml:space="preserve">Y. Fang, C. Bi, D. Wang, J. Huang, </w:t>
      </w:r>
      <w:r w:rsidRPr="002A6BA8">
        <w:rPr>
          <w:i/>
          <w:iCs/>
        </w:rPr>
        <w:t>ACS Energy Lett.</w:t>
      </w:r>
      <w:r w:rsidRPr="002A6BA8">
        <w:t xml:space="preserve"> </w:t>
      </w:r>
      <w:r w:rsidRPr="002A6BA8">
        <w:rPr>
          <w:b/>
          <w:bCs/>
        </w:rPr>
        <w:t>2017</w:t>
      </w:r>
      <w:r w:rsidRPr="002A6BA8">
        <w:t xml:space="preserve">, </w:t>
      </w:r>
      <w:r w:rsidRPr="002A6BA8">
        <w:rPr>
          <w:i/>
          <w:iCs/>
        </w:rPr>
        <w:t>2</w:t>
      </w:r>
      <w:r w:rsidRPr="002A6BA8">
        <w:t>, 782.</w:t>
      </w:r>
    </w:p>
    <w:p w:rsidR="00CE076A" w:rsidRPr="002A6BA8" w:rsidRDefault="00CE076A" w:rsidP="00F3113F">
      <w:pPr>
        <w:pStyle w:val="Bibliography"/>
        <w:spacing w:line="480" w:lineRule="auto"/>
      </w:pPr>
      <w:r w:rsidRPr="002A6BA8">
        <w:t>[15]</w:t>
      </w:r>
      <w:r w:rsidRPr="002A6BA8">
        <w:tab/>
        <w:t xml:space="preserve">Z. Xiao, C. Bi, Y. Shao, Q. Dong, Q. Wang, Y. Yuan, C. Wang, Y. Gao, J. Huang, </w:t>
      </w:r>
      <w:r w:rsidRPr="002A6BA8">
        <w:rPr>
          <w:i/>
          <w:iCs/>
        </w:rPr>
        <w:t>Energy Environ. Sci.</w:t>
      </w:r>
      <w:r w:rsidRPr="002A6BA8">
        <w:t xml:space="preserve"> </w:t>
      </w:r>
      <w:r w:rsidRPr="002A6BA8">
        <w:rPr>
          <w:b/>
          <w:bCs/>
        </w:rPr>
        <w:t>2014</w:t>
      </w:r>
      <w:r w:rsidRPr="002A6BA8">
        <w:t xml:space="preserve">, </w:t>
      </w:r>
      <w:r w:rsidRPr="002A6BA8">
        <w:rPr>
          <w:i/>
          <w:iCs/>
        </w:rPr>
        <w:t>7</w:t>
      </w:r>
      <w:r w:rsidRPr="002A6BA8">
        <w:t>, 2619.</w:t>
      </w:r>
    </w:p>
    <w:p w:rsidR="00CE076A" w:rsidRPr="002A6BA8" w:rsidRDefault="00CE076A" w:rsidP="00F3113F">
      <w:pPr>
        <w:pStyle w:val="Bibliography"/>
        <w:spacing w:line="480" w:lineRule="auto"/>
      </w:pPr>
      <w:r w:rsidRPr="002A6BA8">
        <w:t>[16]</w:t>
      </w:r>
      <w:r w:rsidRPr="002A6BA8">
        <w:tab/>
        <w:t xml:space="preserve">C.-H. Chiang, C.-G. Wu, </w:t>
      </w:r>
      <w:r w:rsidRPr="002A6BA8">
        <w:rPr>
          <w:i/>
          <w:iCs/>
        </w:rPr>
        <w:t>Nat. Photonics</w:t>
      </w:r>
      <w:r w:rsidRPr="002A6BA8">
        <w:t xml:space="preserve"> </w:t>
      </w:r>
      <w:r w:rsidRPr="002A6BA8">
        <w:rPr>
          <w:b/>
          <w:bCs/>
        </w:rPr>
        <w:t>2016</w:t>
      </w:r>
      <w:r w:rsidRPr="002A6BA8">
        <w:t xml:space="preserve">, </w:t>
      </w:r>
      <w:r w:rsidRPr="002A6BA8">
        <w:rPr>
          <w:i/>
          <w:iCs/>
        </w:rPr>
        <w:t>10</w:t>
      </w:r>
      <w:r w:rsidRPr="002A6BA8">
        <w:t>, 196.</w:t>
      </w:r>
    </w:p>
    <w:p w:rsidR="00CE076A" w:rsidRPr="002A6BA8" w:rsidRDefault="00CE076A" w:rsidP="00F3113F">
      <w:pPr>
        <w:pStyle w:val="Bibliography"/>
        <w:spacing w:line="480" w:lineRule="auto"/>
      </w:pPr>
      <w:r w:rsidRPr="002A6BA8">
        <w:t>[17]</w:t>
      </w:r>
      <w:r w:rsidRPr="002A6BA8">
        <w:tab/>
        <w:t xml:space="preserve">K. Wang, C. Liu, P. Du, J. Zheng, X. Gong, </w:t>
      </w:r>
      <w:r w:rsidRPr="002A6BA8">
        <w:rPr>
          <w:i/>
          <w:iCs/>
        </w:rPr>
        <w:t>Energy Environ. Sci.</w:t>
      </w:r>
      <w:r w:rsidRPr="002A6BA8">
        <w:t xml:space="preserve"> </w:t>
      </w:r>
      <w:r w:rsidRPr="002A6BA8">
        <w:rPr>
          <w:b/>
          <w:bCs/>
        </w:rPr>
        <w:t>2015</w:t>
      </w:r>
      <w:r w:rsidRPr="002A6BA8">
        <w:t xml:space="preserve">, </w:t>
      </w:r>
      <w:r w:rsidRPr="002A6BA8">
        <w:rPr>
          <w:i/>
          <w:iCs/>
        </w:rPr>
        <w:t>8</w:t>
      </w:r>
      <w:r w:rsidRPr="002A6BA8">
        <w:t>, 1245.</w:t>
      </w:r>
    </w:p>
    <w:p w:rsidR="00CE076A" w:rsidRPr="002A6BA8" w:rsidRDefault="00CE076A" w:rsidP="00F3113F">
      <w:pPr>
        <w:pStyle w:val="Bibliography"/>
        <w:spacing w:line="480" w:lineRule="auto"/>
      </w:pPr>
      <w:r w:rsidRPr="002A6BA8">
        <w:t>[18]</w:t>
      </w:r>
      <w:r w:rsidRPr="002A6BA8">
        <w:tab/>
        <w:t xml:space="preserve">C. S. Ponseca, E. M. Hutter, P. Piatkowski, B. Cohen, T. Pascher, A. Douhal, A. Yartsev, V. Sundström, T. J. Savenije, </w:t>
      </w:r>
      <w:r w:rsidRPr="002A6BA8">
        <w:rPr>
          <w:i/>
          <w:iCs/>
        </w:rPr>
        <w:t>J. Am. Chem. Soc.</w:t>
      </w:r>
      <w:r w:rsidRPr="002A6BA8">
        <w:t xml:space="preserve"> </w:t>
      </w:r>
      <w:r w:rsidRPr="002A6BA8">
        <w:rPr>
          <w:b/>
          <w:bCs/>
        </w:rPr>
        <w:t>2015</w:t>
      </w:r>
      <w:r w:rsidRPr="002A6BA8">
        <w:t xml:space="preserve">, </w:t>
      </w:r>
      <w:r w:rsidRPr="002A6BA8">
        <w:rPr>
          <w:i/>
          <w:iCs/>
        </w:rPr>
        <w:t>137</w:t>
      </w:r>
      <w:r w:rsidRPr="002A6BA8">
        <w:t>, 16043.</w:t>
      </w:r>
    </w:p>
    <w:p w:rsidR="00CE076A" w:rsidRPr="002A6BA8" w:rsidRDefault="00CE076A" w:rsidP="00F3113F">
      <w:pPr>
        <w:pStyle w:val="Bibliography"/>
        <w:spacing w:line="480" w:lineRule="auto"/>
      </w:pPr>
      <w:r w:rsidRPr="002A6BA8">
        <w:t>[19]</w:t>
      </w:r>
      <w:r w:rsidRPr="002A6BA8">
        <w:tab/>
        <w:t xml:space="preserve">E. M. Hutter, J.-J. Hofman, M. L. Petrus, M. Moes, R. D. Abellón, P. Docampo, T. J. Savenije, </w:t>
      </w:r>
      <w:r w:rsidRPr="002A6BA8">
        <w:rPr>
          <w:i/>
          <w:iCs/>
        </w:rPr>
        <w:t>Adv. Energy Mater.</w:t>
      </w:r>
      <w:r w:rsidRPr="002A6BA8">
        <w:t xml:space="preserve"> </w:t>
      </w:r>
      <w:r w:rsidRPr="002A6BA8">
        <w:rPr>
          <w:b/>
          <w:bCs/>
        </w:rPr>
        <w:t>2017</w:t>
      </w:r>
      <w:r w:rsidRPr="002A6BA8">
        <w:t xml:space="preserve">, </w:t>
      </w:r>
      <w:r w:rsidRPr="002A6BA8">
        <w:rPr>
          <w:i/>
          <w:iCs/>
        </w:rPr>
        <w:t>7</w:t>
      </w:r>
      <w:r w:rsidRPr="002A6BA8">
        <w:t xml:space="preserve">, </w:t>
      </w:r>
      <w:r w:rsidR="002A6BA8" w:rsidRPr="002A6BA8">
        <w:t>1602349</w:t>
      </w:r>
      <w:r w:rsidRPr="002A6BA8">
        <w:t>.</w:t>
      </w:r>
    </w:p>
    <w:p w:rsidR="00CE076A" w:rsidRPr="002A6BA8" w:rsidRDefault="00CE076A" w:rsidP="00F3113F">
      <w:pPr>
        <w:pStyle w:val="Bibliography"/>
        <w:spacing w:line="480" w:lineRule="auto"/>
      </w:pPr>
      <w:r w:rsidRPr="002A6BA8">
        <w:t>[20]</w:t>
      </w:r>
      <w:r w:rsidRPr="002A6BA8">
        <w:tab/>
      </w:r>
      <w:r w:rsidR="002A6BA8" w:rsidRPr="002A6BA8">
        <w:t xml:space="preserve">   Z</w:t>
      </w:r>
      <w:r w:rsidR="002A6BA8">
        <w:t xml:space="preserve">.    Zhu, Q. </w:t>
      </w:r>
      <w:r w:rsidR="002A6BA8" w:rsidRPr="002A6BA8">
        <w:t>Xue,</w:t>
      </w:r>
      <w:r w:rsidR="002A6BA8">
        <w:t xml:space="preserve"> H. </w:t>
      </w:r>
      <w:r w:rsidR="002A6BA8" w:rsidRPr="002A6BA8">
        <w:t>He,</w:t>
      </w:r>
      <w:r w:rsidR="002A6BA8">
        <w:t xml:space="preserve"> K. </w:t>
      </w:r>
      <w:r w:rsidR="002A6BA8" w:rsidRPr="002A6BA8">
        <w:t>Jiang,</w:t>
      </w:r>
      <w:r w:rsidR="002A6BA8">
        <w:t xml:space="preserve"> </w:t>
      </w:r>
      <w:r w:rsidR="002A6BA8" w:rsidRPr="002A6BA8">
        <w:t>Z</w:t>
      </w:r>
      <w:r w:rsidR="002A6BA8">
        <w:t xml:space="preserve">. </w:t>
      </w:r>
      <w:r w:rsidR="002A6BA8" w:rsidRPr="002A6BA8">
        <w:t>Hu,</w:t>
      </w:r>
      <w:r w:rsidR="002A6BA8">
        <w:t xml:space="preserve"> Y. </w:t>
      </w:r>
      <w:r w:rsidR="002A6BA8" w:rsidRPr="002A6BA8">
        <w:t>Bai,</w:t>
      </w:r>
      <w:r w:rsidR="002A6BA8">
        <w:t xml:space="preserve"> T. </w:t>
      </w:r>
      <w:r w:rsidR="002A6BA8" w:rsidRPr="002A6BA8">
        <w:t>Zhang,</w:t>
      </w:r>
      <w:r w:rsidR="002A6BA8">
        <w:t xml:space="preserve"> S. </w:t>
      </w:r>
      <w:r w:rsidR="002A6BA8" w:rsidRPr="002A6BA8">
        <w:t>Xiao,</w:t>
      </w:r>
      <w:r w:rsidR="002A6BA8">
        <w:t xml:space="preserve"> K. </w:t>
      </w:r>
      <w:r w:rsidR="002A6BA8" w:rsidRPr="002A6BA8">
        <w:t>Gundogdu,</w:t>
      </w:r>
      <w:r w:rsidR="002A6BA8">
        <w:t xml:space="preserve"> B. R. </w:t>
      </w:r>
      <w:r w:rsidR="002A6BA8" w:rsidRPr="002A6BA8">
        <w:t>Gautam,</w:t>
      </w:r>
      <w:r w:rsidR="002A6BA8">
        <w:t xml:space="preserve"> H. </w:t>
      </w:r>
      <w:r w:rsidR="002A6BA8" w:rsidRPr="002A6BA8">
        <w:t>Ad</w:t>
      </w:r>
      <w:r w:rsidR="002A6BA8">
        <w:t>e</w:t>
      </w:r>
      <w:r w:rsidR="002A6BA8" w:rsidRPr="002A6BA8">
        <w:t>,</w:t>
      </w:r>
      <w:r w:rsidR="002A6BA8">
        <w:t xml:space="preserve"> F. </w:t>
      </w:r>
      <w:r w:rsidR="002A6BA8" w:rsidRPr="002A6BA8">
        <w:t>Huang,</w:t>
      </w:r>
      <w:r w:rsidR="002A6BA8">
        <w:t xml:space="preserve"> K. S. </w:t>
      </w:r>
      <w:r w:rsidR="002A6BA8" w:rsidRPr="002A6BA8">
        <w:t>Wong, H</w:t>
      </w:r>
      <w:r w:rsidR="002A6BA8">
        <w:t>.</w:t>
      </w:r>
      <w:r w:rsidR="002A6BA8" w:rsidRPr="002A6BA8">
        <w:t>-L</w:t>
      </w:r>
      <w:r w:rsidR="002A6BA8">
        <w:t>.</w:t>
      </w:r>
      <w:r w:rsidR="002A6BA8" w:rsidRPr="002A6BA8">
        <w:t xml:space="preserve"> Yip,</w:t>
      </w:r>
      <w:r w:rsidR="002A6BA8">
        <w:t xml:space="preserve"> </w:t>
      </w:r>
      <w:r w:rsidR="002A6BA8" w:rsidRPr="002A6BA8">
        <w:t>S</w:t>
      </w:r>
      <w:r w:rsidR="002A6BA8">
        <w:t>.</w:t>
      </w:r>
      <w:r w:rsidR="002A6BA8" w:rsidRPr="002A6BA8">
        <w:t xml:space="preserve"> Yang</w:t>
      </w:r>
      <w:r w:rsidR="002A6BA8">
        <w:t xml:space="preserve">, H. </w:t>
      </w:r>
      <w:r w:rsidR="002A6BA8" w:rsidRPr="002A6BA8">
        <w:t>Yan</w:t>
      </w:r>
      <w:r w:rsidR="00EF7670">
        <w:t xml:space="preserve">, </w:t>
      </w:r>
      <w:r w:rsidR="002A6BA8" w:rsidRPr="00EF7670">
        <w:rPr>
          <w:i/>
        </w:rPr>
        <w:t>Adv.</w:t>
      </w:r>
      <w:r w:rsidR="00EF7670" w:rsidRPr="00EF7670">
        <w:rPr>
          <w:i/>
        </w:rPr>
        <w:t xml:space="preserve"> </w:t>
      </w:r>
      <w:r w:rsidR="002A6BA8" w:rsidRPr="00EF7670">
        <w:rPr>
          <w:i/>
        </w:rPr>
        <w:t>Sci.</w:t>
      </w:r>
      <w:r w:rsidR="00EF7670" w:rsidRPr="00EF7670">
        <w:t xml:space="preserve"> </w:t>
      </w:r>
      <w:r w:rsidR="002A6BA8" w:rsidRPr="00EF7670">
        <w:rPr>
          <w:b/>
        </w:rPr>
        <w:t>2016</w:t>
      </w:r>
      <w:r w:rsidR="002A6BA8" w:rsidRPr="00EF7670">
        <w:t>,</w:t>
      </w:r>
      <w:r w:rsidR="00EF7670" w:rsidRPr="00EF7670">
        <w:t xml:space="preserve"> </w:t>
      </w:r>
      <w:r w:rsidR="00EF7670" w:rsidRPr="00EF7670">
        <w:rPr>
          <w:i/>
        </w:rPr>
        <w:t>3</w:t>
      </w:r>
      <w:r w:rsidR="00EF7670" w:rsidRPr="00EF7670">
        <w:t>,</w:t>
      </w:r>
      <w:r w:rsidR="002A6BA8" w:rsidRPr="00EF7670">
        <w:t xml:space="preserve"> 1500353</w:t>
      </w:r>
    </w:p>
    <w:p w:rsidR="00CE076A" w:rsidRPr="002A6BA8" w:rsidRDefault="00CE076A" w:rsidP="00F3113F">
      <w:pPr>
        <w:pStyle w:val="Bibliography"/>
        <w:spacing w:line="480" w:lineRule="auto"/>
      </w:pPr>
      <w:r w:rsidRPr="002A6BA8">
        <w:t>[21]</w:t>
      </w:r>
      <w:r w:rsidRPr="002A6BA8">
        <w:tab/>
        <w:t xml:space="preserve">D. Liu, T. L. Kelly, </w:t>
      </w:r>
      <w:r w:rsidRPr="002A6BA8">
        <w:rPr>
          <w:i/>
          <w:iCs/>
        </w:rPr>
        <w:t>Nat. Photonics</w:t>
      </w:r>
      <w:r w:rsidRPr="002A6BA8">
        <w:t xml:space="preserve"> </w:t>
      </w:r>
      <w:r w:rsidRPr="002A6BA8">
        <w:rPr>
          <w:b/>
          <w:bCs/>
        </w:rPr>
        <w:t>2014</w:t>
      </w:r>
      <w:r w:rsidRPr="002A6BA8">
        <w:t xml:space="preserve">, </w:t>
      </w:r>
      <w:r w:rsidRPr="002A6BA8">
        <w:rPr>
          <w:i/>
          <w:iCs/>
        </w:rPr>
        <w:t>8</w:t>
      </w:r>
      <w:r w:rsidRPr="002A6BA8">
        <w:t>, 133.</w:t>
      </w:r>
    </w:p>
    <w:p w:rsidR="00CE076A" w:rsidRPr="002A6BA8" w:rsidRDefault="00CE076A" w:rsidP="00F3113F">
      <w:pPr>
        <w:pStyle w:val="Bibliography"/>
        <w:spacing w:line="480" w:lineRule="auto"/>
      </w:pPr>
      <w:r w:rsidRPr="002A6BA8">
        <w:t>[22]</w:t>
      </w:r>
      <w:r w:rsidRPr="002A6BA8">
        <w:tab/>
        <w:t xml:space="preserve">A. Mei, X. Li, L. Liu, Z. Ku, T. Liu, Y. Rong, M. Xu, M. Hu, J. Chen, Y. Yang, M. Grätzel, H. Han, </w:t>
      </w:r>
      <w:r w:rsidRPr="002A6BA8">
        <w:rPr>
          <w:i/>
          <w:iCs/>
        </w:rPr>
        <w:t>Science</w:t>
      </w:r>
      <w:r w:rsidRPr="002A6BA8">
        <w:t xml:space="preserve"> </w:t>
      </w:r>
      <w:r w:rsidRPr="002A6BA8">
        <w:rPr>
          <w:b/>
          <w:bCs/>
        </w:rPr>
        <w:t>2014</w:t>
      </w:r>
      <w:r w:rsidRPr="002A6BA8">
        <w:t xml:space="preserve">, </w:t>
      </w:r>
      <w:r w:rsidRPr="002A6BA8">
        <w:rPr>
          <w:i/>
          <w:iCs/>
        </w:rPr>
        <w:t>345</w:t>
      </w:r>
      <w:r w:rsidRPr="002A6BA8">
        <w:t>, 295.</w:t>
      </w:r>
    </w:p>
    <w:p w:rsidR="00CE076A" w:rsidRPr="002A6BA8" w:rsidRDefault="00CE076A" w:rsidP="00F3113F">
      <w:pPr>
        <w:pStyle w:val="Bibliography"/>
        <w:spacing w:line="480" w:lineRule="auto"/>
      </w:pPr>
      <w:r w:rsidRPr="002A6BA8">
        <w:lastRenderedPageBreak/>
        <w:t>[23]</w:t>
      </w:r>
      <w:r w:rsidRPr="002A6BA8">
        <w:tab/>
        <w:t xml:space="preserve">G. Grancini, C. Roldán-Carmona, I. Zimmermann, E. Mosconi, X. Lee, D. Martineau, S. Narbey, F. Oswald, F. D. Angelis, M. Graetzel, M. K. Nazeeruddin, </w:t>
      </w:r>
      <w:r w:rsidRPr="002A6BA8">
        <w:rPr>
          <w:i/>
          <w:iCs/>
        </w:rPr>
        <w:t>Nat. Commun.</w:t>
      </w:r>
      <w:r w:rsidRPr="002A6BA8">
        <w:t xml:space="preserve"> </w:t>
      </w:r>
      <w:r w:rsidRPr="002A6BA8">
        <w:rPr>
          <w:b/>
          <w:bCs/>
        </w:rPr>
        <w:t>2017</w:t>
      </w:r>
      <w:r w:rsidRPr="002A6BA8">
        <w:t xml:space="preserve">, </w:t>
      </w:r>
      <w:r w:rsidRPr="002A6BA8">
        <w:rPr>
          <w:i/>
          <w:iCs/>
        </w:rPr>
        <w:t>8</w:t>
      </w:r>
      <w:r w:rsidRPr="002A6BA8">
        <w:t>, 15684.</w:t>
      </w:r>
    </w:p>
    <w:p w:rsidR="00CE076A" w:rsidRPr="002A6BA8" w:rsidRDefault="00CE076A" w:rsidP="00F3113F">
      <w:pPr>
        <w:pStyle w:val="Bibliography"/>
        <w:spacing w:line="480" w:lineRule="auto"/>
      </w:pPr>
      <w:r w:rsidRPr="002A6BA8">
        <w:t>[24]</w:t>
      </w:r>
      <w:r w:rsidRPr="002A6BA8">
        <w:tab/>
        <w:t xml:space="preserve">R. Sandoval-Torrientes, J. Pascual, I. García-Benito, S. Collavini, I. Kosta, R. Tena-Zaera, N. Martín, J. L. Delgado, </w:t>
      </w:r>
      <w:r w:rsidRPr="002A6BA8">
        <w:rPr>
          <w:i/>
          <w:iCs/>
        </w:rPr>
        <w:t>ChemSusChem</w:t>
      </w:r>
      <w:r w:rsidRPr="002A6BA8">
        <w:t xml:space="preserve"> </w:t>
      </w:r>
      <w:r w:rsidRPr="002A6BA8">
        <w:rPr>
          <w:b/>
          <w:bCs/>
        </w:rPr>
        <w:t>2017</w:t>
      </w:r>
      <w:r w:rsidRPr="002A6BA8">
        <w:t xml:space="preserve">, </w:t>
      </w:r>
      <w:r w:rsidRPr="002A6BA8">
        <w:rPr>
          <w:i/>
          <w:iCs/>
        </w:rPr>
        <w:t>10</w:t>
      </w:r>
      <w:r w:rsidRPr="002A6BA8">
        <w:t>, 2023.</w:t>
      </w:r>
    </w:p>
    <w:p w:rsidR="00CE076A" w:rsidRPr="002A6BA8" w:rsidRDefault="00CE076A" w:rsidP="00F3113F">
      <w:pPr>
        <w:pStyle w:val="Bibliography"/>
        <w:spacing w:line="480" w:lineRule="auto"/>
      </w:pPr>
      <w:r w:rsidRPr="002A6BA8">
        <w:t>[25]</w:t>
      </w:r>
      <w:r w:rsidRPr="002A6BA8">
        <w:tab/>
        <w:t xml:space="preserve">D. Liu, J. Yang, T. L. Kelly, </w:t>
      </w:r>
      <w:r w:rsidRPr="002A6BA8">
        <w:rPr>
          <w:i/>
          <w:iCs/>
        </w:rPr>
        <w:t>J. Am. Chem. Soc.</w:t>
      </w:r>
      <w:r w:rsidRPr="002A6BA8">
        <w:t xml:space="preserve"> </w:t>
      </w:r>
      <w:r w:rsidRPr="002A6BA8">
        <w:rPr>
          <w:b/>
          <w:bCs/>
        </w:rPr>
        <w:t>2014</w:t>
      </w:r>
      <w:r w:rsidRPr="002A6BA8">
        <w:t xml:space="preserve">, </w:t>
      </w:r>
      <w:r w:rsidRPr="002A6BA8">
        <w:rPr>
          <w:i/>
          <w:iCs/>
        </w:rPr>
        <w:t>136</w:t>
      </w:r>
      <w:r w:rsidRPr="002A6BA8">
        <w:t>, 17116.</w:t>
      </w:r>
    </w:p>
    <w:p w:rsidR="00CE076A" w:rsidRPr="002A6BA8" w:rsidRDefault="00CE076A" w:rsidP="00F3113F">
      <w:pPr>
        <w:pStyle w:val="Bibliography"/>
        <w:spacing w:line="480" w:lineRule="auto"/>
      </w:pPr>
      <w:r w:rsidRPr="002A6BA8">
        <w:t>[26]</w:t>
      </w:r>
      <w:r w:rsidRPr="002A6BA8">
        <w:tab/>
        <w:t xml:space="preserve">J. Pascual, I. Kosta, T. Tuyen Ngo, A. Chuvilin, G. Cabanero, H. J. Grande, E. M. Barea, I. Mora-Seró, J. L. Delgado, R. Tena-Zaera, </w:t>
      </w:r>
      <w:r w:rsidRPr="002A6BA8">
        <w:rPr>
          <w:i/>
          <w:iCs/>
        </w:rPr>
        <w:t>ChemSusChem</w:t>
      </w:r>
      <w:r w:rsidRPr="002A6BA8">
        <w:t xml:space="preserve"> </w:t>
      </w:r>
      <w:r w:rsidRPr="002A6BA8">
        <w:rPr>
          <w:b/>
          <w:bCs/>
        </w:rPr>
        <w:t>2016</w:t>
      </w:r>
      <w:r w:rsidRPr="002A6BA8">
        <w:t xml:space="preserve">, </w:t>
      </w:r>
      <w:r w:rsidRPr="002A6BA8">
        <w:rPr>
          <w:i/>
          <w:iCs/>
        </w:rPr>
        <w:t>9</w:t>
      </w:r>
      <w:r w:rsidRPr="002A6BA8">
        <w:t>, 2679.</w:t>
      </w:r>
    </w:p>
    <w:p w:rsidR="00CE076A" w:rsidRPr="002A6BA8" w:rsidRDefault="00CE076A" w:rsidP="00F3113F">
      <w:pPr>
        <w:pStyle w:val="Bibliography"/>
        <w:spacing w:line="480" w:lineRule="auto"/>
      </w:pPr>
      <w:r w:rsidRPr="002A6BA8">
        <w:t>[27]</w:t>
      </w:r>
      <w:r w:rsidRPr="002A6BA8">
        <w:tab/>
        <w:t xml:space="preserve">G. Grancini, A. R. Srimath Kandada, J. M. Frost, A. J. Barker, M. De Bastiani, M. Gandini, S. Marras, G. Lanzani, A. Walsh, A. Petrozza, </w:t>
      </w:r>
      <w:r w:rsidRPr="002A6BA8">
        <w:rPr>
          <w:i/>
          <w:iCs/>
        </w:rPr>
        <w:t>Nat. Photonics</w:t>
      </w:r>
      <w:r w:rsidRPr="002A6BA8">
        <w:t xml:space="preserve"> </w:t>
      </w:r>
      <w:r w:rsidRPr="002A6BA8">
        <w:rPr>
          <w:b/>
          <w:bCs/>
        </w:rPr>
        <w:t>2015</w:t>
      </w:r>
      <w:r w:rsidRPr="002A6BA8">
        <w:t xml:space="preserve">, </w:t>
      </w:r>
      <w:r w:rsidRPr="002A6BA8">
        <w:rPr>
          <w:i/>
          <w:iCs/>
        </w:rPr>
        <w:t>9</w:t>
      </w:r>
      <w:r w:rsidRPr="002A6BA8">
        <w:t>, 695.</w:t>
      </w:r>
    </w:p>
    <w:p w:rsidR="00CE076A" w:rsidRPr="002A6BA8" w:rsidRDefault="00CE076A" w:rsidP="00F3113F">
      <w:pPr>
        <w:pStyle w:val="Bibliography"/>
        <w:spacing w:line="480" w:lineRule="auto"/>
      </w:pPr>
      <w:r w:rsidRPr="002A6BA8">
        <w:t>[28]</w:t>
      </w:r>
      <w:r w:rsidRPr="002A6BA8">
        <w:tab/>
        <w:t xml:space="preserve">G. Grancini, D. Viola, Y. Lee, M. Saliba, S. Paek, K. T. Cho, S. Orlandi, M. Cavazzini, F. Fungo, M. I. Hossain, A. Belaidi, N. Tabet, G. Pozzi, G. Cerullo, M. K. Nazeeruddin, </w:t>
      </w:r>
      <w:r w:rsidRPr="002A6BA8">
        <w:rPr>
          <w:i/>
          <w:iCs/>
        </w:rPr>
        <w:t>ChemPhysChem</w:t>
      </w:r>
      <w:r w:rsidR="00EF7670" w:rsidRPr="00EF7670">
        <w:rPr>
          <w:b/>
          <w:bCs/>
        </w:rPr>
        <w:t> 2017</w:t>
      </w:r>
      <w:r w:rsidR="00EF7670" w:rsidRPr="00EF7670">
        <w:rPr>
          <w:bCs/>
        </w:rPr>
        <w:t xml:space="preserve">, </w:t>
      </w:r>
      <w:r w:rsidR="00EF7670" w:rsidRPr="00EF7670">
        <w:rPr>
          <w:bCs/>
          <w:i/>
        </w:rPr>
        <w:t>18</w:t>
      </w:r>
      <w:r w:rsidR="00EF7670">
        <w:rPr>
          <w:bCs/>
        </w:rPr>
        <w:t xml:space="preserve"> </w:t>
      </w:r>
      <w:r w:rsidR="00EF7670" w:rsidRPr="00EF7670">
        <w:rPr>
          <w:bCs/>
        </w:rPr>
        <w:t>(17), 2381-2389</w:t>
      </w:r>
    </w:p>
    <w:p w:rsidR="00CE076A" w:rsidRPr="002A6BA8" w:rsidRDefault="00CE076A" w:rsidP="00F3113F">
      <w:pPr>
        <w:pStyle w:val="Bibliography"/>
        <w:spacing w:line="480" w:lineRule="auto"/>
      </w:pPr>
      <w:r w:rsidRPr="002A6BA8">
        <w:t>[29]</w:t>
      </w:r>
      <w:r w:rsidRPr="002A6BA8">
        <w:tab/>
        <w:t xml:space="preserve">Y. Yamada, T. Yamada, A. Shimazaki, A. Wakamiya, Y. Kanemitsu, </w:t>
      </w:r>
      <w:r w:rsidRPr="002A6BA8">
        <w:rPr>
          <w:i/>
          <w:iCs/>
        </w:rPr>
        <w:t>J. Phys. Chem. Lett.</w:t>
      </w:r>
      <w:r w:rsidRPr="002A6BA8">
        <w:t xml:space="preserve"> </w:t>
      </w:r>
      <w:r w:rsidRPr="002A6BA8">
        <w:rPr>
          <w:b/>
          <w:bCs/>
        </w:rPr>
        <w:t>2016</w:t>
      </w:r>
      <w:r w:rsidRPr="002A6BA8">
        <w:t xml:space="preserve">, </w:t>
      </w:r>
      <w:r w:rsidRPr="002A6BA8">
        <w:rPr>
          <w:i/>
          <w:iCs/>
        </w:rPr>
        <w:t>7</w:t>
      </w:r>
      <w:r w:rsidRPr="002A6BA8">
        <w:t>, 1972.</w:t>
      </w:r>
    </w:p>
    <w:p w:rsidR="00CE076A" w:rsidRPr="002A6BA8" w:rsidRDefault="00CE076A" w:rsidP="00F3113F">
      <w:pPr>
        <w:pStyle w:val="Bibliography"/>
        <w:spacing w:line="480" w:lineRule="auto"/>
      </w:pPr>
      <w:r w:rsidRPr="002A6BA8">
        <w:t>[30]</w:t>
      </w:r>
      <w:r w:rsidRPr="002A6BA8">
        <w:tab/>
        <w:t xml:space="preserve">C. Wehrenfennig, M. Liu, H. J. Snaith, M. B. Johnston, L. M. Herz, </w:t>
      </w:r>
      <w:r w:rsidRPr="002A6BA8">
        <w:rPr>
          <w:i/>
          <w:iCs/>
        </w:rPr>
        <w:t>Energy Environ. Sci.</w:t>
      </w:r>
      <w:r w:rsidRPr="002A6BA8">
        <w:t xml:space="preserve"> </w:t>
      </w:r>
      <w:r w:rsidRPr="002A6BA8">
        <w:rPr>
          <w:b/>
          <w:bCs/>
        </w:rPr>
        <w:t>2014</w:t>
      </w:r>
      <w:r w:rsidRPr="002A6BA8">
        <w:t xml:space="preserve">, </w:t>
      </w:r>
      <w:r w:rsidRPr="002A6BA8">
        <w:rPr>
          <w:i/>
          <w:iCs/>
        </w:rPr>
        <w:t>7</w:t>
      </w:r>
      <w:r w:rsidRPr="002A6BA8">
        <w:t>, 2269.</w:t>
      </w:r>
    </w:p>
    <w:p w:rsidR="00CE076A" w:rsidRPr="002A6BA8" w:rsidRDefault="00CE076A" w:rsidP="00F3113F">
      <w:pPr>
        <w:pStyle w:val="Bibliography"/>
        <w:spacing w:line="480" w:lineRule="auto"/>
      </w:pPr>
      <w:r w:rsidRPr="002A6BA8">
        <w:t>[31]</w:t>
      </w:r>
      <w:r w:rsidRPr="002A6BA8">
        <w:tab/>
        <w:t xml:space="preserve">Y. Yamada, T. Nakamura, M. Endo, A. Wakamiya, Y. Kanemitsu, </w:t>
      </w:r>
      <w:r w:rsidRPr="002A6BA8">
        <w:rPr>
          <w:i/>
          <w:iCs/>
        </w:rPr>
        <w:t>J. Am. Chem. Soc.</w:t>
      </w:r>
      <w:r w:rsidRPr="002A6BA8">
        <w:t xml:space="preserve"> </w:t>
      </w:r>
      <w:r w:rsidRPr="002A6BA8">
        <w:rPr>
          <w:b/>
          <w:bCs/>
        </w:rPr>
        <w:t>2014</w:t>
      </w:r>
      <w:r w:rsidRPr="002A6BA8">
        <w:t xml:space="preserve">, </w:t>
      </w:r>
      <w:r w:rsidRPr="002A6BA8">
        <w:rPr>
          <w:i/>
          <w:iCs/>
        </w:rPr>
        <w:t>136</w:t>
      </w:r>
      <w:r w:rsidRPr="002A6BA8">
        <w:t>, 11610.</w:t>
      </w:r>
    </w:p>
    <w:p w:rsidR="00CE076A" w:rsidRPr="002A6BA8" w:rsidRDefault="00CE076A" w:rsidP="00F3113F">
      <w:pPr>
        <w:pStyle w:val="Bibliography"/>
        <w:spacing w:line="480" w:lineRule="auto"/>
      </w:pPr>
      <w:r w:rsidRPr="002A6BA8">
        <w:t>[32]</w:t>
      </w:r>
      <w:r w:rsidRPr="002A6BA8">
        <w:tab/>
        <w:t xml:space="preserve">S. D. Stranks, V. M. Burlakov, T. Leijtens, J. M. Ball, A. Goriely, H. J. Snaith, </w:t>
      </w:r>
      <w:r w:rsidRPr="002A6BA8">
        <w:rPr>
          <w:i/>
          <w:iCs/>
        </w:rPr>
        <w:t>Phys. Rev. Appl.</w:t>
      </w:r>
      <w:r w:rsidRPr="002A6BA8">
        <w:t xml:space="preserve"> </w:t>
      </w:r>
      <w:r w:rsidRPr="002A6BA8">
        <w:rPr>
          <w:b/>
          <w:bCs/>
        </w:rPr>
        <w:t>2014</w:t>
      </w:r>
      <w:r w:rsidRPr="002A6BA8">
        <w:t xml:space="preserve">, </w:t>
      </w:r>
      <w:r w:rsidRPr="002A6BA8">
        <w:rPr>
          <w:i/>
          <w:iCs/>
        </w:rPr>
        <w:t>2</w:t>
      </w:r>
      <w:r w:rsidRPr="002A6BA8">
        <w:t>, 34007.</w:t>
      </w:r>
    </w:p>
    <w:p w:rsidR="00CE076A" w:rsidRPr="002A6BA8" w:rsidRDefault="00CE076A" w:rsidP="00F3113F">
      <w:pPr>
        <w:pStyle w:val="Bibliography"/>
        <w:spacing w:line="480" w:lineRule="auto"/>
      </w:pPr>
      <w:r w:rsidRPr="002A6BA8">
        <w:t>[33]</w:t>
      </w:r>
      <w:r w:rsidRPr="002A6BA8">
        <w:tab/>
        <w:t xml:space="preserve">A. Baumann, S. Väth, P. Rieder, M. C. Heiber, K. Tvingstedt, V. Dyakonov, </w:t>
      </w:r>
      <w:r w:rsidRPr="002A6BA8">
        <w:rPr>
          <w:i/>
          <w:iCs/>
        </w:rPr>
        <w:t>J. Phys. Chem. Lett.</w:t>
      </w:r>
      <w:r w:rsidRPr="002A6BA8">
        <w:t xml:space="preserve"> </w:t>
      </w:r>
      <w:r w:rsidRPr="002A6BA8">
        <w:rPr>
          <w:b/>
          <w:bCs/>
        </w:rPr>
        <w:t>2015</w:t>
      </w:r>
      <w:r w:rsidRPr="002A6BA8">
        <w:t xml:space="preserve">, </w:t>
      </w:r>
      <w:r w:rsidRPr="002A6BA8">
        <w:rPr>
          <w:i/>
          <w:iCs/>
        </w:rPr>
        <w:t>6</w:t>
      </w:r>
      <w:r w:rsidRPr="002A6BA8">
        <w:t>, 2350.</w:t>
      </w:r>
    </w:p>
    <w:p w:rsidR="00CE076A" w:rsidRPr="002A6BA8" w:rsidRDefault="00CE076A" w:rsidP="00F3113F">
      <w:pPr>
        <w:pStyle w:val="Bibliography"/>
        <w:spacing w:line="480" w:lineRule="auto"/>
      </w:pPr>
      <w:r w:rsidRPr="002A6BA8">
        <w:t>[34]</w:t>
      </w:r>
      <w:r w:rsidRPr="002A6BA8">
        <w:tab/>
        <w:t xml:space="preserve">B. Kang, K. Biswas, </w:t>
      </w:r>
      <w:r w:rsidRPr="002A6BA8">
        <w:rPr>
          <w:i/>
          <w:iCs/>
        </w:rPr>
        <w:t>Phys. Chem. Chem. Phys.</w:t>
      </w:r>
      <w:r w:rsidRPr="002A6BA8">
        <w:t xml:space="preserve"> </w:t>
      </w:r>
      <w:r w:rsidRPr="002A6BA8">
        <w:rPr>
          <w:b/>
          <w:bCs/>
        </w:rPr>
        <w:t>2017</w:t>
      </w:r>
      <w:r w:rsidRPr="002A6BA8">
        <w:t xml:space="preserve">, </w:t>
      </w:r>
      <w:r w:rsidR="00EF7670">
        <w:t>19, 27184</w:t>
      </w:r>
      <w:r w:rsidRPr="002A6BA8">
        <w:t>.</w:t>
      </w:r>
    </w:p>
    <w:p w:rsidR="00CE076A" w:rsidRPr="002A6BA8" w:rsidRDefault="00CE076A" w:rsidP="00F3113F">
      <w:pPr>
        <w:pStyle w:val="Bibliography"/>
        <w:spacing w:line="480" w:lineRule="auto"/>
      </w:pPr>
      <w:r w:rsidRPr="002A6BA8">
        <w:lastRenderedPageBreak/>
        <w:t>[35]</w:t>
      </w:r>
      <w:r w:rsidRPr="002A6BA8">
        <w:tab/>
        <w:t xml:space="preserve">A. R. Srimath Kandada, S. Neutzner, V. D’Innocenzo, F. Tassone, M. Gandini, Q. A. Akkerman, M. Prato, L. Manna, A. Petrozza, G. Lanzani, </w:t>
      </w:r>
      <w:r w:rsidRPr="002A6BA8">
        <w:rPr>
          <w:i/>
          <w:iCs/>
        </w:rPr>
        <w:t>J. Am. Chem. Soc.</w:t>
      </w:r>
      <w:r w:rsidRPr="002A6BA8">
        <w:t xml:space="preserve"> </w:t>
      </w:r>
      <w:r w:rsidRPr="002A6BA8">
        <w:rPr>
          <w:b/>
          <w:bCs/>
        </w:rPr>
        <w:t>2016</w:t>
      </w:r>
      <w:r w:rsidRPr="002A6BA8">
        <w:t xml:space="preserve">, </w:t>
      </w:r>
      <w:r w:rsidRPr="002A6BA8">
        <w:rPr>
          <w:i/>
          <w:iCs/>
        </w:rPr>
        <w:t>138</w:t>
      </w:r>
      <w:r w:rsidRPr="002A6BA8">
        <w:t>, 13604.</w:t>
      </w:r>
    </w:p>
    <w:p w:rsidR="00CE076A" w:rsidRPr="002A6BA8" w:rsidRDefault="00CE076A" w:rsidP="00F3113F">
      <w:pPr>
        <w:pStyle w:val="Bibliography"/>
        <w:spacing w:line="480" w:lineRule="auto"/>
      </w:pPr>
      <w:r w:rsidRPr="002A6BA8">
        <w:t>[36]</w:t>
      </w:r>
      <w:r w:rsidRPr="002A6BA8">
        <w:tab/>
        <w:t xml:space="preserve">A. Marchioro, J. Teuscher, D. Friedrich, M. Kunst, R. van de Krol, T. Moehl, M. Grätzel, J.-E. Moser, </w:t>
      </w:r>
      <w:r w:rsidRPr="002A6BA8">
        <w:rPr>
          <w:i/>
          <w:iCs/>
        </w:rPr>
        <w:t>Nat. Photonics</w:t>
      </w:r>
      <w:r w:rsidRPr="002A6BA8">
        <w:t xml:space="preserve"> </w:t>
      </w:r>
      <w:r w:rsidRPr="002A6BA8">
        <w:rPr>
          <w:b/>
          <w:bCs/>
        </w:rPr>
        <w:t>2014</w:t>
      </w:r>
      <w:r w:rsidRPr="002A6BA8">
        <w:t xml:space="preserve">, </w:t>
      </w:r>
      <w:r w:rsidRPr="002A6BA8">
        <w:rPr>
          <w:i/>
          <w:iCs/>
        </w:rPr>
        <w:t>8</w:t>
      </w:r>
      <w:r w:rsidRPr="002A6BA8">
        <w:t>, 250.</w:t>
      </w:r>
    </w:p>
    <w:p w:rsidR="00CE076A" w:rsidRPr="002A6BA8" w:rsidRDefault="00CE076A" w:rsidP="00F3113F">
      <w:pPr>
        <w:pStyle w:val="Bibliography"/>
        <w:spacing w:line="480" w:lineRule="auto"/>
      </w:pPr>
      <w:r w:rsidRPr="002A6BA8">
        <w:t>[37]</w:t>
      </w:r>
      <w:r w:rsidRPr="002A6BA8">
        <w:tab/>
        <w:t xml:space="preserve">L. Wang, C. McCleese, A. Kovalsky, Y. Zhao, C. Burda, </w:t>
      </w:r>
      <w:r w:rsidRPr="002A6BA8">
        <w:rPr>
          <w:i/>
          <w:iCs/>
        </w:rPr>
        <w:t>J. Am. Chem. Soc.</w:t>
      </w:r>
      <w:r w:rsidRPr="002A6BA8">
        <w:t xml:space="preserve"> </w:t>
      </w:r>
      <w:r w:rsidRPr="002A6BA8">
        <w:rPr>
          <w:b/>
          <w:bCs/>
        </w:rPr>
        <w:t>2014</w:t>
      </w:r>
      <w:r w:rsidRPr="002A6BA8">
        <w:t xml:space="preserve">, </w:t>
      </w:r>
      <w:r w:rsidRPr="002A6BA8">
        <w:rPr>
          <w:i/>
          <w:iCs/>
        </w:rPr>
        <w:t>136</w:t>
      </w:r>
      <w:r w:rsidRPr="002A6BA8">
        <w:t>, 12205.</w:t>
      </w:r>
    </w:p>
    <w:p w:rsidR="00CE076A" w:rsidRPr="002A6BA8" w:rsidRDefault="00CE076A" w:rsidP="00F3113F">
      <w:pPr>
        <w:pStyle w:val="Bibliography"/>
        <w:spacing w:line="480" w:lineRule="auto"/>
      </w:pPr>
      <w:r w:rsidRPr="002A6BA8">
        <w:t>[38]</w:t>
      </w:r>
      <w:r w:rsidRPr="002A6BA8">
        <w:tab/>
        <w:t xml:space="preserve">G. Xing, N. Mathews, S. Sun, S. S. Lim, Y. M. Lam, M. Grätzel, S. Mhaisalkar, T. C. Sum, </w:t>
      </w:r>
      <w:r w:rsidRPr="002A6BA8">
        <w:rPr>
          <w:i/>
          <w:iCs/>
        </w:rPr>
        <w:t>Science</w:t>
      </w:r>
      <w:r w:rsidRPr="002A6BA8">
        <w:t xml:space="preserve"> </w:t>
      </w:r>
      <w:r w:rsidRPr="002A6BA8">
        <w:rPr>
          <w:b/>
          <w:bCs/>
        </w:rPr>
        <w:t>2013</w:t>
      </w:r>
      <w:r w:rsidRPr="002A6BA8">
        <w:t xml:space="preserve">, </w:t>
      </w:r>
      <w:r w:rsidRPr="002A6BA8">
        <w:rPr>
          <w:i/>
          <w:iCs/>
        </w:rPr>
        <w:t>342</w:t>
      </w:r>
      <w:r w:rsidRPr="002A6BA8">
        <w:t>, 344.</w:t>
      </w:r>
    </w:p>
    <w:p w:rsidR="00CE076A" w:rsidRPr="002A6BA8" w:rsidRDefault="00CE076A" w:rsidP="00F3113F">
      <w:pPr>
        <w:pStyle w:val="Bibliography"/>
        <w:spacing w:line="480" w:lineRule="auto"/>
      </w:pPr>
      <w:r w:rsidRPr="002A6BA8">
        <w:t>[39]</w:t>
      </w:r>
      <w:r w:rsidRPr="002A6BA8">
        <w:tab/>
        <w:t xml:space="preserve">B. Anand, S. Sampat, E. O. Danilov, W. Peng, S. M. Rupich, Y. J. Chabal, Y. N. Gartstein, A. V. Malko, </w:t>
      </w:r>
      <w:r w:rsidRPr="002A6BA8">
        <w:rPr>
          <w:i/>
          <w:iCs/>
        </w:rPr>
        <w:t>Phys. Rev. B</w:t>
      </w:r>
      <w:r w:rsidRPr="002A6BA8">
        <w:t xml:space="preserve"> </w:t>
      </w:r>
      <w:r w:rsidRPr="002A6BA8">
        <w:rPr>
          <w:b/>
          <w:bCs/>
        </w:rPr>
        <w:t>2016</w:t>
      </w:r>
      <w:r w:rsidRPr="002A6BA8">
        <w:t xml:space="preserve">, </w:t>
      </w:r>
      <w:r w:rsidRPr="002A6BA8">
        <w:rPr>
          <w:i/>
          <w:iCs/>
        </w:rPr>
        <w:t>93</w:t>
      </w:r>
      <w:r w:rsidRPr="002A6BA8">
        <w:t>, 161205.</w:t>
      </w:r>
    </w:p>
    <w:p w:rsidR="00CE076A" w:rsidRPr="002A6BA8" w:rsidRDefault="00CE076A" w:rsidP="00F3113F">
      <w:pPr>
        <w:pStyle w:val="Bibliography"/>
        <w:spacing w:line="480" w:lineRule="auto"/>
      </w:pPr>
      <w:r w:rsidRPr="002A6BA8">
        <w:t>[40]</w:t>
      </w:r>
      <w:r w:rsidRPr="002A6BA8">
        <w:tab/>
        <w:t xml:space="preserve">X. Wu, M. T. Trinh, D. Niesner, H. Zhu, Z. Norman, J. S. Owen, O. Yaffe, B. J. Kudisch, X.-Y. Zhu, </w:t>
      </w:r>
      <w:r w:rsidRPr="002A6BA8">
        <w:rPr>
          <w:i/>
          <w:iCs/>
        </w:rPr>
        <w:t>J. Am. Chem. Soc.</w:t>
      </w:r>
      <w:r w:rsidRPr="002A6BA8">
        <w:t xml:space="preserve"> </w:t>
      </w:r>
      <w:r w:rsidRPr="002A6BA8">
        <w:rPr>
          <w:b/>
          <w:bCs/>
        </w:rPr>
        <w:t>2015</w:t>
      </w:r>
      <w:r w:rsidRPr="002A6BA8">
        <w:t xml:space="preserve">, </w:t>
      </w:r>
      <w:r w:rsidRPr="002A6BA8">
        <w:rPr>
          <w:i/>
          <w:iCs/>
        </w:rPr>
        <w:t>137</w:t>
      </w:r>
      <w:r w:rsidRPr="002A6BA8">
        <w:t>, 2089.</w:t>
      </w:r>
    </w:p>
    <w:p w:rsidR="00CE076A" w:rsidRPr="002A6BA8" w:rsidRDefault="00CE076A" w:rsidP="00F3113F">
      <w:pPr>
        <w:pStyle w:val="Bibliography"/>
        <w:spacing w:line="480" w:lineRule="auto"/>
      </w:pPr>
      <w:r w:rsidRPr="002A6BA8">
        <w:t>[41]</w:t>
      </w:r>
      <w:r w:rsidRPr="002A6BA8">
        <w:tab/>
        <w:t xml:space="preserve">C. S. Ponseca, T. J. Savenije, M. Abdellah, K. Zheng, A. Yartsev, T. Pascher, T. Harlang, P. Chabera, T. Pullerits, A. Stepanov, J.-P. Wolf, V. Sundström, </w:t>
      </w:r>
      <w:r w:rsidRPr="002A6BA8">
        <w:rPr>
          <w:i/>
          <w:iCs/>
        </w:rPr>
        <w:t>J. Am. Chem. Soc.</w:t>
      </w:r>
      <w:r w:rsidRPr="002A6BA8">
        <w:t xml:space="preserve"> </w:t>
      </w:r>
      <w:r w:rsidRPr="002A6BA8">
        <w:rPr>
          <w:b/>
          <w:bCs/>
        </w:rPr>
        <w:t>2014</w:t>
      </w:r>
      <w:r w:rsidRPr="002A6BA8">
        <w:t xml:space="preserve">, </w:t>
      </w:r>
      <w:r w:rsidRPr="002A6BA8">
        <w:rPr>
          <w:i/>
          <w:iCs/>
        </w:rPr>
        <w:t>136</w:t>
      </w:r>
      <w:r w:rsidRPr="002A6BA8">
        <w:t>, 5189.</w:t>
      </w:r>
    </w:p>
    <w:p w:rsidR="00CE076A" w:rsidRPr="002A6BA8" w:rsidRDefault="00CE076A" w:rsidP="00F3113F">
      <w:pPr>
        <w:pStyle w:val="Bibliography"/>
        <w:spacing w:line="480" w:lineRule="auto"/>
      </w:pPr>
      <w:r w:rsidRPr="002A6BA8">
        <w:t>[42]</w:t>
      </w:r>
      <w:r w:rsidRPr="002A6BA8">
        <w:tab/>
        <w:t xml:space="preserve">P. Piatkowski, B. Cohen, F. J. Ramos, M. D. Nunzio, M. K. Nazeeruddin, M. Grätzel, S. Ahmad, A. Douhal, </w:t>
      </w:r>
      <w:r w:rsidRPr="002A6BA8">
        <w:rPr>
          <w:i/>
          <w:iCs/>
        </w:rPr>
        <w:t>Phys. Chem. Chem. Phys.</w:t>
      </w:r>
      <w:r w:rsidRPr="002A6BA8">
        <w:t xml:space="preserve"> </w:t>
      </w:r>
      <w:r w:rsidRPr="002A6BA8">
        <w:rPr>
          <w:b/>
          <w:bCs/>
        </w:rPr>
        <w:t>2015</w:t>
      </w:r>
      <w:r w:rsidRPr="002A6BA8">
        <w:t xml:space="preserve">, </w:t>
      </w:r>
      <w:r w:rsidRPr="002A6BA8">
        <w:rPr>
          <w:i/>
          <w:iCs/>
        </w:rPr>
        <w:t>17</w:t>
      </w:r>
      <w:r w:rsidRPr="002A6BA8">
        <w:t>, 14674.</w:t>
      </w:r>
    </w:p>
    <w:p w:rsidR="00CE076A" w:rsidRPr="002A6BA8" w:rsidRDefault="00CE076A" w:rsidP="00F3113F">
      <w:pPr>
        <w:pStyle w:val="Bibliography"/>
        <w:spacing w:line="480" w:lineRule="auto"/>
      </w:pPr>
      <w:r w:rsidRPr="002A6BA8">
        <w:t>[43]</w:t>
      </w:r>
      <w:r w:rsidRPr="002A6BA8">
        <w:tab/>
        <w:t xml:space="preserve">J. M. Richter, F. Branchi, F. V. de A. Camargo, B. Zhao, R. H. Friend, G. Cerullo, F. Deschler, </w:t>
      </w:r>
      <w:r w:rsidRPr="002A6BA8">
        <w:rPr>
          <w:i/>
          <w:iCs/>
        </w:rPr>
        <w:t>Nat. Commun.</w:t>
      </w:r>
      <w:r w:rsidRPr="002A6BA8">
        <w:t xml:space="preserve"> </w:t>
      </w:r>
      <w:r w:rsidRPr="002A6BA8">
        <w:rPr>
          <w:b/>
          <w:bCs/>
        </w:rPr>
        <w:t>2017</w:t>
      </w:r>
      <w:r w:rsidRPr="002A6BA8">
        <w:t xml:space="preserve">, </w:t>
      </w:r>
      <w:r w:rsidRPr="002A6BA8">
        <w:rPr>
          <w:i/>
          <w:iCs/>
        </w:rPr>
        <w:t>8</w:t>
      </w:r>
      <w:r w:rsidRPr="002A6BA8">
        <w:t>, 376.</w:t>
      </w:r>
    </w:p>
    <w:p w:rsidR="00CE076A" w:rsidRPr="002A6BA8" w:rsidRDefault="00CE076A" w:rsidP="00F3113F">
      <w:pPr>
        <w:pStyle w:val="Bibliography"/>
        <w:spacing w:line="480" w:lineRule="auto"/>
      </w:pPr>
      <w:r w:rsidRPr="002A6BA8">
        <w:t>[44]</w:t>
      </w:r>
      <w:r w:rsidRPr="002A6BA8">
        <w:tab/>
        <w:t xml:space="preserve">C. Wang, C. Wang, X. Liu, J. Kauppi, Y. Shao, Z. Xiao, C. Bi, J. Huang, Y. Gao, </w:t>
      </w:r>
      <w:r w:rsidRPr="002A6BA8">
        <w:rPr>
          <w:i/>
          <w:iCs/>
        </w:rPr>
        <w:t>Appl. Phys. Lett.</w:t>
      </w:r>
      <w:r w:rsidRPr="002A6BA8">
        <w:t xml:space="preserve"> </w:t>
      </w:r>
      <w:r w:rsidRPr="002A6BA8">
        <w:rPr>
          <w:b/>
          <w:bCs/>
        </w:rPr>
        <w:t>2015</w:t>
      </w:r>
      <w:r w:rsidRPr="002A6BA8">
        <w:t xml:space="preserve">, </w:t>
      </w:r>
      <w:r w:rsidRPr="002A6BA8">
        <w:rPr>
          <w:i/>
          <w:iCs/>
        </w:rPr>
        <w:t>106</w:t>
      </w:r>
      <w:r w:rsidRPr="002A6BA8">
        <w:t>, 111603.</w:t>
      </w:r>
    </w:p>
    <w:p w:rsidR="00CE076A" w:rsidRPr="002A6BA8" w:rsidRDefault="00CE076A" w:rsidP="00F3113F">
      <w:pPr>
        <w:pStyle w:val="Bibliography"/>
        <w:spacing w:line="480" w:lineRule="auto"/>
      </w:pPr>
      <w:r w:rsidRPr="002A6BA8">
        <w:t>[45]</w:t>
      </w:r>
      <w:r w:rsidRPr="002A6BA8">
        <w:tab/>
        <w:t xml:space="preserve">S. Olthof, </w:t>
      </w:r>
      <w:r w:rsidRPr="002A6BA8">
        <w:rPr>
          <w:i/>
          <w:iCs/>
        </w:rPr>
        <w:t>APL Mater.</w:t>
      </w:r>
      <w:r w:rsidRPr="002A6BA8">
        <w:t xml:space="preserve"> </w:t>
      </w:r>
      <w:r w:rsidRPr="002A6BA8">
        <w:rPr>
          <w:b/>
          <w:bCs/>
        </w:rPr>
        <w:t>2016</w:t>
      </w:r>
      <w:r w:rsidRPr="002A6BA8">
        <w:t xml:space="preserve">, </w:t>
      </w:r>
      <w:r w:rsidRPr="002A6BA8">
        <w:rPr>
          <w:i/>
          <w:iCs/>
        </w:rPr>
        <w:t>4</w:t>
      </w:r>
      <w:r w:rsidRPr="002A6BA8">
        <w:t>, 91502.</w:t>
      </w:r>
    </w:p>
    <w:p w:rsidR="00004A23" w:rsidRPr="002A6BA8" w:rsidRDefault="00CE0F5F" w:rsidP="00F3113F">
      <w:pPr>
        <w:pStyle w:val="Legend"/>
        <w:spacing w:line="480" w:lineRule="auto"/>
      </w:pPr>
      <w:r w:rsidRPr="002A6BA8">
        <w:fldChar w:fldCharType="end"/>
      </w:r>
    </w:p>
    <w:p w:rsidR="00C94D9C" w:rsidRPr="002A6BA8" w:rsidRDefault="00C94D9C" w:rsidP="00A92DE8">
      <w:pPr>
        <w:pStyle w:val="Legend"/>
        <w:rPr>
          <w:b/>
          <w:lang w:val="en-GB"/>
        </w:rPr>
      </w:pPr>
    </w:p>
    <w:p w:rsidR="00C94D9C" w:rsidRPr="002A6BA8" w:rsidRDefault="00C94D9C" w:rsidP="00A92DE8">
      <w:pPr>
        <w:pStyle w:val="Legend"/>
        <w:rPr>
          <w:b/>
          <w:lang w:val="en-GB"/>
        </w:rPr>
      </w:pPr>
    </w:p>
    <w:p w:rsidR="00DB60D3" w:rsidRPr="002A6BA8" w:rsidRDefault="00DB60D3" w:rsidP="00A92DE8">
      <w:pPr>
        <w:pStyle w:val="Legend"/>
        <w:rPr>
          <w:b/>
          <w:lang w:val="en-GB"/>
        </w:rPr>
      </w:pPr>
    </w:p>
    <w:p w:rsidR="00E05545" w:rsidRPr="002A6BA8" w:rsidRDefault="00E05545" w:rsidP="00A92DE8">
      <w:pPr>
        <w:pStyle w:val="Legend"/>
        <w:rPr>
          <w:b/>
          <w:lang w:val="en-GB"/>
        </w:rPr>
      </w:pPr>
      <w:r w:rsidRPr="002A6BA8">
        <w:rPr>
          <w:b/>
          <w:lang w:val="en-GB"/>
        </w:rPr>
        <w:lastRenderedPageBreak/>
        <w:t>Figures</w:t>
      </w:r>
    </w:p>
    <w:p w:rsidR="00E05545" w:rsidRPr="002A6BA8" w:rsidRDefault="00E05545" w:rsidP="00EA5133">
      <w:pPr>
        <w:pStyle w:val="Legend"/>
        <w:rPr>
          <w:b/>
          <w:lang w:val="en-GB"/>
        </w:rPr>
      </w:pPr>
    </w:p>
    <w:p w:rsidR="00E05545" w:rsidRPr="002A6BA8" w:rsidRDefault="00E05545" w:rsidP="00CE076A">
      <w:pPr>
        <w:pStyle w:val="Legend"/>
        <w:rPr>
          <w:b/>
          <w:lang w:val="en-GB"/>
        </w:rPr>
      </w:pPr>
    </w:p>
    <w:p w:rsidR="00E05545" w:rsidRPr="002A6BA8" w:rsidRDefault="00841823" w:rsidP="00B0731F">
      <w:pPr>
        <w:pStyle w:val="Legend"/>
        <w:rPr>
          <w:noProof/>
          <w:lang w:val="en-GB" w:eastAsia="en-GB"/>
        </w:rPr>
      </w:pPr>
      <w:r w:rsidRPr="002A6BA8">
        <w:rPr>
          <w:noProof/>
          <w:lang w:val="en-GB" w:eastAsia="en-GB"/>
        </w:rPr>
        <w:drawing>
          <wp:inline distT="0" distB="0" distL="0" distR="0">
            <wp:extent cx="5638800" cy="3021955"/>
            <wp:effectExtent l="0" t="0" r="0" b="762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igure1.tif"/>
                    <pic:cNvPicPr/>
                  </pic:nvPicPr>
                  <pic:blipFill rotWithShape="1">
                    <a:blip r:embed="rId10" cstate="print">
                      <a:extLst>
                        <a:ext uri="{28A0092B-C50C-407E-A947-70E740481C1C}">
                          <a14:useLocalDpi xmlns:a14="http://schemas.microsoft.com/office/drawing/2010/main" val="0"/>
                        </a:ext>
                      </a:extLst>
                    </a:blip>
                    <a:srcRect r="13202"/>
                    <a:stretch/>
                  </pic:blipFill>
                  <pic:spPr bwMode="auto">
                    <a:xfrm>
                      <a:off x="0" y="0"/>
                      <a:ext cx="5643796" cy="3024633"/>
                    </a:xfrm>
                    <a:prstGeom prst="rect">
                      <a:avLst/>
                    </a:prstGeom>
                    <a:ln>
                      <a:noFill/>
                    </a:ln>
                    <a:extLst>
                      <a:ext uri="{53640926-AAD7-44D8-BBD7-CCE9431645EC}">
                        <a14:shadowObscured xmlns:a14="http://schemas.microsoft.com/office/drawing/2010/main"/>
                      </a:ext>
                    </a:extLst>
                  </pic:spPr>
                </pic:pic>
              </a:graphicData>
            </a:graphic>
          </wp:inline>
        </w:drawing>
      </w:r>
    </w:p>
    <w:p w:rsidR="00E05545" w:rsidRPr="002A6BA8" w:rsidRDefault="00E05545" w:rsidP="00F3113F">
      <w:pPr>
        <w:pStyle w:val="Legend"/>
        <w:rPr>
          <w:b/>
          <w:lang w:val="en-GB"/>
        </w:rPr>
      </w:pPr>
    </w:p>
    <w:p w:rsidR="00E2571A" w:rsidRPr="002A6BA8" w:rsidRDefault="00E05545" w:rsidP="00F3113F">
      <w:pPr>
        <w:pStyle w:val="Legend"/>
        <w:rPr>
          <w:lang w:val="en-GB"/>
        </w:rPr>
      </w:pPr>
      <w:r w:rsidRPr="002A6BA8">
        <w:rPr>
          <w:b/>
          <w:lang w:val="en-GB"/>
        </w:rPr>
        <w:t>Figure 1.</w:t>
      </w:r>
      <w:r w:rsidRPr="002A6BA8">
        <w:rPr>
          <w:lang w:val="en-GB"/>
        </w:rPr>
        <w:t xml:space="preserve"> </w:t>
      </w:r>
      <w:r w:rsidRPr="002A6BA8">
        <w:rPr>
          <w:b/>
          <w:lang w:val="en-GB"/>
        </w:rPr>
        <w:t>a.</w:t>
      </w:r>
      <w:r w:rsidRPr="002A6BA8">
        <w:rPr>
          <w:lang w:val="en-GB"/>
        </w:rPr>
        <w:t xml:space="preserve"> Absorption Spectra of the MAPbI</w:t>
      </w:r>
      <w:r w:rsidRPr="002A6BA8">
        <w:rPr>
          <w:vertAlign w:val="subscript"/>
          <w:lang w:val="en-GB"/>
        </w:rPr>
        <w:t>3</w:t>
      </w:r>
      <w:r w:rsidRPr="002A6BA8">
        <w:rPr>
          <w:lang w:val="en-GB"/>
        </w:rPr>
        <w:t xml:space="preserve"> and </w:t>
      </w:r>
      <w:r w:rsidR="00694530" w:rsidRPr="002A6BA8">
        <w:rPr>
          <w:lang w:val="en-GB"/>
        </w:rPr>
        <w:t>MAPbI</w:t>
      </w:r>
      <w:r w:rsidR="00694530" w:rsidRPr="002A6BA8">
        <w:rPr>
          <w:vertAlign w:val="subscript"/>
          <w:lang w:val="en-GB"/>
        </w:rPr>
        <w:t>3</w:t>
      </w:r>
      <w:r w:rsidRPr="002A6BA8">
        <w:rPr>
          <w:lang w:val="en-GB"/>
        </w:rPr>
        <w:t>:C</w:t>
      </w:r>
      <w:r w:rsidRPr="002A6BA8">
        <w:rPr>
          <w:vertAlign w:val="subscript"/>
          <w:lang w:val="en-GB"/>
        </w:rPr>
        <w:t>70</w:t>
      </w:r>
      <w:r w:rsidRPr="002A6BA8">
        <w:rPr>
          <w:lang w:val="en-GB"/>
        </w:rPr>
        <w:t xml:space="preserve"> films deposited on compact TiO</w:t>
      </w:r>
      <w:r w:rsidRPr="002A6BA8">
        <w:rPr>
          <w:vertAlign w:val="subscript"/>
          <w:lang w:val="en-GB"/>
        </w:rPr>
        <w:t>2</w:t>
      </w:r>
      <w:r w:rsidRPr="002A6BA8">
        <w:rPr>
          <w:lang w:val="en-GB"/>
        </w:rPr>
        <w:t xml:space="preserve"> (c-TiO</w:t>
      </w:r>
      <w:r w:rsidRPr="002A6BA8">
        <w:rPr>
          <w:vertAlign w:val="subscript"/>
          <w:lang w:val="en-GB"/>
        </w:rPr>
        <w:t>2</w:t>
      </w:r>
      <w:r w:rsidRPr="002A6BA8">
        <w:rPr>
          <w:lang w:val="en-GB"/>
        </w:rPr>
        <w:t xml:space="preserve">) and encapsulated with PMMA. </w:t>
      </w:r>
      <w:r w:rsidRPr="002A6BA8">
        <w:rPr>
          <w:b/>
          <w:lang w:val="en-GB"/>
        </w:rPr>
        <w:t xml:space="preserve">b, c. </w:t>
      </w:r>
      <w:r w:rsidRPr="002A6BA8">
        <w:rPr>
          <w:lang w:val="en-GB"/>
        </w:rPr>
        <w:t>cross-section scanning electron microscopy (SEM) image</w:t>
      </w:r>
      <w:r w:rsidR="00D71E06" w:rsidRPr="002A6BA8">
        <w:rPr>
          <w:lang w:val="en-GB"/>
        </w:rPr>
        <w:t>s</w:t>
      </w:r>
      <w:r w:rsidRPr="002A6BA8">
        <w:rPr>
          <w:lang w:val="en-GB"/>
        </w:rPr>
        <w:t xml:space="preserve"> and </w:t>
      </w:r>
      <w:r w:rsidRPr="002A6BA8">
        <w:rPr>
          <w:b/>
          <w:lang w:val="en-GB"/>
        </w:rPr>
        <w:t>d, e.</w:t>
      </w:r>
      <w:r w:rsidRPr="002A6BA8">
        <w:rPr>
          <w:lang w:val="en-GB"/>
        </w:rPr>
        <w:t xml:space="preserve"> top SEM image</w:t>
      </w:r>
      <w:r w:rsidR="00D71E06" w:rsidRPr="002A6BA8">
        <w:rPr>
          <w:lang w:val="en-GB"/>
        </w:rPr>
        <w:t>s</w:t>
      </w:r>
      <w:r w:rsidRPr="002A6BA8">
        <w:rPr>
          <w:lang w:val="en-GB"/>
        </w:rPr>
        <w:t xml:space="preserve"> for MAPbI</w:t>
      </w:r>
      <w:r w:rsidRPr="002A6BA8">
        <w:rPr>
          <w:vertAlign w:val="subscript"/>
          <w:lang w:val="en-GB"/>
        </w:rPr>
        <w:t>3</w:t>
      </w:r>
      <w:r w:rsidRPr="002A6BA8">
        <w:rPr>
          <w:lang w:val="en-GB"/>
        </w:rPr>
        <w:t xml:space="preserve"> and MAPbI</w:t>
      </w:r>
      <w:r w:rsidRPr="002A6BA8">
        <w:rPr>
          <w:vertAlign w:val="subscript"/>
          <w:lang w:val="en-GB"/>
        </w:rPr>
        <w:t>3</w:t>
      </w:r>
      <w:r w:rsidRPr="002A6BA8">
        <w:rPr>
          <w:lang w:val="en-GB"/>
        </w:rPr>
        <w:t>:C</w:t>
      </w:r>
      <w:r w:rsidRPr="002A6BA8">
        <w:rPr>
          <w:vertAlign w:val="subscript"/>
          <w:lang w:val="en-GB"/>
        </w:rPr>
        <w:t>70</w:t>
      </w:r>
      <w:r w:rsidRPr="002A6BA8">
        <w:rPr>
          <w:lang w:val="en-GB"/>
        </w:rPr>
        <w:t>, respectively.</w:t>
      </w:r>
      <w:r w:rsidRPr="002A6BA8">
        <w:rPr>
          <w:b/>
          <w:lang w:val="en-GB"/>
        </w:rPr>
        <w:t xml:space="preserve"> f.</w:t>
      </w:r>
      <w:r w:rsidRPr="002A6BA8">
        <w:rPr>
          <w:lang w:val="en-GB"/>
        </w:rPr>
        <w:t xml:space="preserve"> Integrated </w:t>
      </w:r>
      <w:r w:rsidR="00BA7D67" w:rsidRPr="002A6BA8">
        <w:rPr>
          <w:lang w:val="en-GB"/>
        </w:rPr>
        <w:t>TA</w:t>
      </w:r>
      <w:r w:rsidRPr="002A6BA8">
        <w:rPr>
          <w:lang w:val="en-GB"/>
        </w:rPr>
        <w:t xml:space="preserve"> Spectra (filled symbols) and CW-PL spectra (open symbols) for the MAPbI</w:t>
      </w:r>
      <w:r w:rsidRPr="002A6BA8">
        <w:rPr>
          <w:vertAlign w:val="subscript"/>
          <w:lang w:val="en-GB"/>
        </w:rPr>
        <w:t>3</w:t>
      </w:r>
      <w:r w:rsidRPr="002A6BA8">
        <w:rPr>
          <w:lang w:val="en-GB"/>
        </w:rPr>
        <w:t xml:space="preserve"> and </w:t>
      </w:r>
      <w:r w:rsidR="00A35AA7" w:rsidRPr="002A6BA8">
        <w:rPr>
          <w:lang w:val="en-GB"/>
        </w:rPr>
        <w:t>MAPbI</w:t>
      </w:r>
      <w:r w:rsidR="00A35AA7" w:rsidRPr="002A6BA8">
        <w:rPr>
          <w:vertAlign w:val="subscript"/>
          <w:lang w:val="en-GB"/>
        </w:rPr>
        <w:t>3</w:t>
      </w:r>
      <w:r w:rsidRPr="002A6BA8">
        <w:rPr>
          <w:lang w:val="en-GB"/>
        </w:rPr>
        <w:t>:C</w:t>
      </w:r>
      <w:r w:rsidRPr="002A6BA8">
        <w:rPr>
          <w:vertAlign w:val="subscript"/>
          <w:lang w:val="en-GB"/>
        </w:rPr>
        <w:t>70</w:t>
      </w:r>
      <w:r w:rsidRPr="002A6BA8">
        <w:rPr>
          <w:lang w:val="en-GB"/>
        </w:rPr>
        <w:t xml:space="preserve"> films deposited on </w:t>
      </w:r>
      <w:r w:rsidR="00A35AA7" w:rsidRPr="002A6BA8">
        <w:rPr>
          <w:lang w:val="en-GB"/>
        </w:rPr>
        <w:t xml:space="preserve">compact glass substrate </w:t>
      </w:r>
      <w:r w:rsidRPr="002A6BA8">
        <w:rPr>
          <w:lang w:val="en-GB"/>
        </w:rPr>
        <w:t>and encapsulated with PMMA. A fluence of 50</w:t>
      </w:r>
      <w:r w:rsidR="00DB60D3" w:rsidRPr="002A6BA8">
        <w:rPr>
          <w:lang w:val="en-GB"/>
        </w:rPr>
        <w:t xml:space="preserve"> </w:t>
      </w:r>
      <w:r w:rsidRPr="002A6BA8">
        <w:rPr>
          <w:lang w:val="en-GB"/>
        </w:rPr>
        <w:t>nJ/cm</w:t>
      </w:r>
      <w:r w:rsidRPr="002A6BA8">
        <w:rPr>
          <w:vertAlign w:val="superscript"/>
          <w:lang w:val="en-GB"/>
        </w:rPr>
        <w:t>2</w:t>
      </w:r>
      <w:r w:rsidRPr="002A6BA8">
        <w:rPr>
          <w:lang w:val="en-GB"/>
        </w:rPr>
        <w:t xml:space="preserve"> corresponding to a photocarrier density of around 10</w:t>
      </w:r>
      <w:r w:rsidRPr="002A6BA8">
        <w:rPr>
          <w:vertAlign w:val="superscript"/>
          <w:lang w:val="en-GB"/>
        </w:rPr>
        <w:t xml:space="preserve">16 </w:t>
      </w:r>
      <w:r w:rsidRPr="002A6BA8">
        <w:rPr>
          <w:lang w:val="en-GB"/>
        </w:rPr>
        <w:t>cm</w:t>
      </w:r>
      <w:r w:rsidRPr="002A6BA8">
        <w:rPr>
          <w:vertAlign w:val="superscript"/>
          <w:lang w:val="en-GB"/>
        </w:rPr>
        <w:t xml:space="preserve">-3 </w:t>
      </w:r>
      <w:r w:rsidRPr="002A6BA8">
        <w:rPr>
          <w:lang w:val="en-GB"/>
        </w:rPr>
        <w:t>is used</w:t>
      </w:r>
      <w:r w:rsidR="005223A1" w:rsidRPr="002A6BA8">
        <w:rPr>
          <w:lang w:val="en-GB"/>
        </w:rPr>
        <w:t xml:space="preserve"> for the ns-TA</w:t>
      </w:r>
      <w:r w:rsidRPr="002A6BA8">
        <w:rPr>
          <w:lang w:val="en-GB"/>
        </w:rPr>
        <w:t xml:space="preserve">. </w:t>
      </w:r>
      <w:r w:rsidRPr="002A6BA8">
        <w:rPr>
          <w:b/>
          <w:lang w:val="en-GB"/>
        </w:rPr>
        <w:t>g.</w:t>
      </w:r>
      <w:r w:rsidRPr="002A6BA8">
        <w:rPr>
          <w:lang w:val="en-GB"/>
        </w:rPr>
        <w:t xml:space="preserve"> ns-TA</w:t>
      </w:r>
      <w:r w:rsidR="00A35AA7" w:rsidRPr="002A6BA8">
        <w:rPr>
          <w:lang w:val="en-GB"/>
        </w:rPr>
        <w:t xml:space="preserve"> </w:t>
      </w:r>
      <w:r w:rsidRPr="002A6BA8">
        <w:rPr>
          <w:lang w:val="en-GB"/>
        </w:rPr>
        <w:t>decay at 760 nm probe wavelength and PL decay registered at 780 nm for the MAPbI</w:t>
      </w:r>
      <w:r w:rsidRPr="002A6BA8">
        <w:rPr>
          <w:vertAlign w:val="subscript"/>
          <w:lang w:val="en-GB"/>
        </w:rPr>
        <w:t>3</w:t>
      </w:r>
      <w:r w:rsidRPr="002A6BA8">
        <w:rPr>
          <w:lang w:val="en-GB"/>
        </w:rPr>
        <w:t xml:space="preserve"> and MaPbI</w:t>
      </w:r>
      <w:r w:rsidRPr="002A6BA8">
        <w:rPr>
          <w:vertAlign w:val="subscript"/>
          <w:lang w:val="en-GB"/>
        </w:rPr>
        <w:t>3</w:t>
      </w:r>
      <w:r w:rsidRPr="002A6BA8">
        <w:rPr>
          <w:lang w:val="en-GB"/>
        </w:rPr>
        <w:t>:C</w:t>
      </w:r>
      <w:r w:rsidRPr="002A6BA8">
        <w:rPr>
          <w:vertAlign w:val="subscript"/>
          <w:lang w:val="en-GB"/>
        </w:rPr>
        <w:t>70</w:t>
      </w:r>
      <w:r w:rsidRPr="002A6BA8">
        <w:rPr>
          <w:lang w:val="en-GB"/>
        </w:rPr>
        <w:t xml:space="preserve"> films </w:t>
      </w:r>
      <w:r w:rsidR="00A35AA7" w:rsidRPr="002A6BA8">
        <w:rPr>
          <w:lang w:val="en-GB"/>
        </w:rPr>
        <w:t xml:space="preserve">deposited on compact glass substrate and encapsulated with PMMA. </w:t>
      </w:r>
      <w:r w:rsidRPr="002A6BA8">
        <w:rPr>
          <w:b/>
          <w:lang w:val="en-GB"/>
        </w:rPr>
        <w:t>h.</w:t>
      </w:r>
      <w:r w:rsidRPr="002A6BA8">
        <w:rPr>
          <w:lang w:val="en-GB"/>
        </w:rPr>
        <w:t xml:space="preserve"> PL decay comparing photocarrier density of around </w:t>
      </w:r>
      <w:r w:rsidR="00DB60D3" w:rsidRPr="002A6BA8">
        <w:rPr>
          <w:lang w:val="en-GB"/>
        </w:rPr>
        <w:t>3x</w:t>
      </w:r>
      <w:r w:rsidRPr="002A6BA8">
        <w:rPr>
          <w:lang w:val="en-GB"/>
        </w:rPr>
        <w:t>10</w:t>
      </w:r>
      <w:r w:rsidRPr="002A6BA8">
        <w:rPr>
          <w:vertAlign w:val="superscript"/>
          <w:lang w:val="en-GB"/>
        </w:rPr>
        <w:t xml:space="preserve">16 </w:t>
      </w:r>
      <w:r w:rsidRPr="002A6BA8">
        <w:rPr>
          <w:lang w:val="en-GB"/>
        </w:rPr>
        <w:t>cm</w:t>
      </w:r>
      <w:r w:rsidRPr="002A6BA8">
        <w:rPr>
          <w:vertAlign w:val="superscript"/>
          <w:lang w:val="en-GB"/>
        </w:rPr>
        <w:t xml:space="preserve">-3 </w:t>
      </w:r>
      <w:r w:rsidRPr="002A6BA8">
        <w:rPr>
          <w:lang w:val="en-GB"/>
        </w:rPr>
        <w:t xml:space="preserve">to </w:t>
      </w:r>
      <w:r w:rsidR="00DB60D3" w:rsidRPr="002A6BA8">
        <w:rPr>
          <w:lang w:val="en-GB"/>
        </w:rPr>
        <w:t>4x</w:t>
      </w:r>
      <w:r w:rsidRPr="002A6BA8">
        <w:rPr>
          <w:lang w:val="en-GB"/>
        </w:rPr>
        <w:t>10</w:t>
      </w:r>
      <w:r w:rsidRPr="002A6BA8">
        <w:rPr>
          <w:vertAlign w:val="superscript"/>
          <w:lang w:val="en-GB"/>
        </w:rPr>
        <w:t xml:space="preserve">14 </w:t>
      </w:r>
      <w:r w:rsidRPr="002A6BA8">
        <w:rPr>
          <w:lang w:val="en-GB"/>
        </w:rPr>
        <w:t>cm</w:t>
      </w:r>
      <w:r w:rsidRPr="002A6BA8">
        <w:rPr>
          <w:vertAlign w:val="superscript"/>
          <w:lang w:val="en-GB"/>
        </w:rPr>
        <w:t xml:space="preserve">-3 </w:t>
      </w:r>
      <w:r w:rsidRPr="002A6BA8">
        <w:rPr>
          <w:lang w:val="en-GB"/>
        </w:rPr>
        <w:t>upon excitation at 370</w:t>
      </w:r>
      <w:r w:rsidR="005223A1" w:rsidRPr="002A6BA8">
        <w:rPr>
          <w:lang w:val="en-GB"/>
        </w:rPr>
        <w:t xml:space="preserve"> </w:t>
      </w:r>
      <w:r w:rsidRPr="002A6BA8">
        <w:rPr>
          <w:lang w:val="en-GB"/>
        </w:rPr>
        <w:t>nm</w:t>
      </w:r>
      <w:r w:rsidR="002F2D12" w:rsidRPr="002A6BA8">
        <w:rPr>
          <w:lang w:val="en-GB"/>
        </w:rPr>
        <w:t xml:space="preserve"> for MAPbI</w:t>
      </w:r>
      <w:r w:rsidR="002F2D12" w:rsidRPr="002A6BA8">
        <w:rPr>
          <w:vertAlign w:val="subscript"/>
          <w:lang w:val="en-GB"/>
        </w:rPr>
        <w:t>3</w:t>
      </w:r>
      <w:r w:rsidR="002F2D12" w:rsidRPr="002A6BA8">
        <w:rPr>
          <w:lang w:val="en-GB"/>
        </w:rPr>
        <w:t>:C</w:t>
      </w:r>
      <w:r w:rsidR="002F2D12" w:rsidRPr="002A6BA8">
        <w:rPr>
          <w:vertAlign w:val="subscript"/>
          <w:lang w:val="en-GB"/>
        </w:rPr>
        <w:t>70</w:t>
      </w:r>
      <w:r w:rsidR="002F2D12" w:rsidRPr="002A6BA8">
        <w:rPr>
          <w:lang w:val="en-GB"/>
        </w:rPr>
        <w:t xml:space="preserve"> (left panel) and MAPbI</w:t>
      </w:r>
      <w:r w:rsidR="002F2D12" w:rsidRPr="002A6BA8">
        <w:rPr>
          <w:vertAlign w:val="subscript"/>
          <w:lang w:val="en-GB"/>
        </w:rPr>
        <w:t>3</w:t>
      </w:r>
      <w:r w:rsidR="002F2D12" w:rsidRPr="002A6BA8">
        <w:rPr>
          <w:lang w:val="en-GB"/>
        </w:rPr>
        <w:t xml:space="preserve"> (right panel)</w:t>
      </w:r>
      <w:r w:rsidR="00A35AA7" w:rsidRPr="002A6BA8">
        <w:rPr>
          <w:lang w:val="en-GB"/>
        </w:rPr>
        <w:t xml:space="preserve"> deposited on compact glass substrate and encapsulated with PMMA.</w:t>
      </w:r>
      <w:r w:rsidR="00BA7D67" w:rsidRPr="002A6BA8">
        <w:rPr>
          <w:lang w:val="en-GB"/>
        </w:rPr>
        <w:t xml:space="preserve"> </w:t>
      </w:r>
      <w:r w:rsidR="0042562B" w:rsidRPr="002A6BA8">
        <w:rPr>
          <w:lang w:val="en-GB"/>
        </w:rPr>
        <w:t xml:space="preserve"> </w:t>
      </w:r>
    </w:p>
    <w:p w:rsidR="00E05545" w:rsidRPr="002A6BA8" w:rsidRDefault="00E05545" w:rsidP="00F3113F">
      <w:pPr>
        <w:pStyle w:val="Legend"/>
      </w:pPr>
    </w:p>
    <w:p w:rsidR="002B2397" w:rsidRPr="002A6BA8" w:rsidRDefault="002B2397" w:rsidP="00F3113F">
      <w:pPr>
        <w:pStyle w:val="Legend"/>
      </w:pPr>
    </w:p>
    <w:p w:rsidR="002D16A0" w:rsidRPr="002A6BA8" w:rsidRDefault="002D16A0" w:rsidP="00F3113F">
      <w:pPr>
        <w:pStyle w:val="Legend"/>
      </w:pPr>
    </w:p>
    <w:p w:rsidR="002D16A0" w:rsidRPr="002A6BA8" w:rsidRDefault="002D16A0" w:rsidP="00F3113F">
      <w:pPr>
        <w:pStyle w:val="Legend"/>
      </w:pPr>
    </w:p>
    <w:p w:rsidR="00250F21" w:rsidRPr="002A6BA8" w:rsidRDefault="00A9030A" w:rsidP="00F3113F">
      <w:pPr>
        <w:pStyle w:val="Legend"/>
        <w:rPr>
          <w:noProof/>
          <w:lang w:val="en-GB" w:eastAsia="en-GB"/>
        </w:rPr>
      </w:pPr>
      <w:r w:rsidRPr="002A6BA8">
        <w:rPr>
          <w:noProof/>
          <w:lang w:val="en-GB" w:eastAsia="en-GB"/>
        </w:rPr>
        <w:lastRenderedPageBreak/>
        <w:drawing>
          <wp:inline distT="0" distB="0" distL="0" distR="0">
            <wp:extent cx="5760720" cy="355536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3.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0720" cy="3555365"/>
                    </a:xfrm>
                    <a:prstGeom prst="rect">
                      <a:avLst/>
                    </a:prstGeom>
                  </pic:spPr>
                </pic:pic>
              </a:graphicData>
            </a:graphic>
          </wp:inline>
        </w:drawing>
      </w:r>
    </w:p>
    <w:p w:rsidR="00E05545" w:rsidRPr="002A6BA8" w:rsidRDefault="00E05545" w:rsidP="00F3113F">
      <w:pPr>
        <w:pStyle w:val="Legend"/>
        <w:rPr>
          <w:noProof/>
          <w:lang w:val="en-GB" w:eastAsia="en-GB"/>
        </w:rPr>
      </w:pPr>
    </w:p>
    <w:p w:rsidR="00E05545" w:rsidRPr="002A6BA8" w:rsidRDefault="00E05545" w:rsidP="00F3113F">
      <w:pPr>
        <w:pStyle w:val="Legend"/>
        <w:rPr>
          <w:lang w:val="de-DE"/>
        </w:rPr>
      </w:pPr>
      <w:r w:rsidRPr="002A6BA8">
        <w:rPr>
          <w:b/>
          <w:lang w:val="de-DE"/>
        </w:rPr>
        <w:t>Figure 2. a, d.</w:t>
      </w:r>
      <w:r w:rsidRPr="002A6BA8">
        <w:rPr>
          <w:lang w:val="de-DE"/>
        </w:rPr>
        <w:t xml:space="preserve"> Differential Transmission (</w:t>
      </w:r>
      <w:r w:rsidRPr="002A6BA8">
        <w:rPr>
          <w:rFonts w:ascii="Symbol" w:hAnsi="Symbol"/>
          <w:lang w:val="de-DE"/>
        </w:rPr>
        <w:t></w:t>
      </w:r>
      <w:r w:rsidRPr="002A6BA8">
        <w:rPr>
          <w:lang w:val="de-DE"/>
        </w:rPr>
        <w:t>T/T) spectra for MAPbI</w:t>
      </w:r>
      <w:r w:rsidRPr="002A6BA8">
        <w:rPr>
          <w:vertAlign w:val="subscript"/>
          <w:lang w:val="de-DE"/>
        </w:rPr>
        <w:t>3</w:t>
      </w:r>
      <w:r w:rsidRPr="002A6BA8">
        <w:rPr>
          <w:lang w:val="de-DE"/>
        </w:rPr>
        <w:t xml:space="preserve"> and MAPbI</w:t>
      </w:r>
      <w:r w:rsidRPr="002A6BA8">
        <w:rPr>
          <w:vertAlign w:val="subscript"/>
          <w:lang w:val="de-DE"/>
        </w:rPr>
        <w:t>3</w:t>
      </w:r>
      <w:r w:rsidRPr="002A6BA8">
        <w:rPr>
          <w:lang w:val="de-DE"/>
        </w:rPr>
        <w:t>:C</w:t>
      </w:r>
      <w:r w:rsidRPr="002A6BA8">
        <w:rPr>
          <w:vertAlign w:val="subscript"/>
          <w:lang w:val="de-DE"/>
        </w:rPr>
        <w:t>70</w:t>
      </w:r>
      <w:r w:rsidRPr="002A6BA8">
        <w:rPr>
          <w:lang w:val="de-DE"/>
        </w:rPr>
        <w:t xml:space="preserve"> films deposited on </w:t>
      </w:r>
      <w:r w:rsidR="00D20655" w:rsidRPr="002A6BA8">
        <w:rPr>
          <w:lang w:val="de-DE"/>
        </w:rPr>
        <w:t xml:space="preserve">fused silica </w:t>
      </w:r>
      <w:r w:rsidRPr="002A6BA8">
        <w:rPr>
          <w:lang w:val="de-DE"/>
        </w:rPr>
        <w:t xml:space="preserve">upon excitation at 650 nm with a fluence of </w:t>
      </w:r>
      <w:r w:rsidR="00D20655" w:rsidRPr="002A6BA8">
        <w:rPr>
          <w:lang w:eastAsia="en-GB"/>
        </w:rPr>
        <w:t>4.7 μJ/cm</w:t>
      </w:r>
      <w:r w:rsidR="00D20655" w:rsidRPr="002A6BA8">
        <w:rPr>
          <w:vertAlign w:val="superscript"/>
          <w:lang w:eastAsia="en-GB"/>
        </w:rPr>
        <w:t>2</w:t>
      </w:r>
      <w:r w:rsidR="005223A1" w:rsidRPr="002A6BA8">
        <w:rPr>
          <w:vertAlign w:val="superscript"/>
          <w:lang w:eastAsia="en-GB"/>
        </w:rPr>
        <w:t xml:space="preserve"> </w:t>
      </w:r>
      <w:r w:rsidR="005223A1" w:rsidRPr="002A6BA8">
        <w:rPr>
          <w:lang w:eastAsia="en-GB"/>
        </w:rPr>
        <w:t>corresponding to ≈</w:t>
      </w:r>
      <w:r w:rsidR="00DC2491" w:rsidRPr="002A6BA8">
        <w:rPr>
          <w:lang w:eastAsia="en-GB"/>
        </w:rPr>
        <w:t xml:space="preserve"> </w:t>
      </w:r>
      <w:r w:rsidR="005223A1" w:rsidRPr="002A6BA8">
        <w:rPr>
          <w:lang w:eastAsia="en-GB"/>
        </w:rPr>
        <w:t>10</w:t>
      </w:r>
      <w:r w:rsidR="005223A1" w:rsidRPr="002A6BA8">
        <w:rPr>
          <w:vertAlign w:val="superscript"/>
          <w:lang w:eastAsia="en-GB"/>
        </w:rPr>
        <w:t xml:space="preserve">18 </w:t>
      </w:r>
      <w:r w:rsidR="005223A1" w:rsidRPr="002A6BA8">
        <w:rPr>
          <w:lang w:eastAsia="en-GB"/>
        </w:rPr>
        <w:t>carrier/cm</w:t>
      </w:r>
      <w:r w:rsidR="005223A1" w:rsidRPr="002A6BA8">
        <w:rPr>
          <w:vertAlign w:val="superscript"/>
          <w:lang w:eastAsia="en-GB"/>
        </w:rPr>
        <w:t>3</w:t>
      </w:r>
      <w:r w:rsidRPr="002A6BA8">
        <w:rPr>
          <w:lang w:val="de-DE"/>
        </w:rPr>
        <w:t xml:space="preserve">, respectively. </w:t>
      </w:r>
      <w:r w:rsidRPr="002A6BA8">
        <w:rPr>
          <w:b/>
          <w:lang w:val="de-DE"/>
        </w:rPr>
        <w:t>b, e.</w:t>
      </w:r>
      <w:r w:rsidRPr="002A6BA8">
        <w:rPr>
          <w:lang w:val="de-DE"/>
        </w:rPr>
        <w:t xml:space="preserve"> </w:t>
      </w:r>
      <w:r w:rsidRPr="002A6BA8">
        <w:rPr>
          <w:rFonts w:ascii="Symbol" w:hAnsi="Symbol"/>
          <w:lang w:val="de-DE"/>
        </w:rPr>
        <w:t></w:t>
      </w:r>
      <w:r w:rsidRPr="002A6BA8">
        <w:rPr>
          <w:lang w:val="de-DE"/>
        </w:rPr>
        <w:t>T/T (</w:t>
      </w:r>
      <w:r w:rsidRPr="002A6BA8">
        <w:rPr>
          <w:rFonts w:ascii="Symbol" w:hAnsi="Symbol"/>
          <w:lang w:val="de-DE"/>
        </w:rPr>
        <w:t></w:t>
      </w:r>
      <w:r w:rsidRPr="002A6BA8">
        <w:rPr>
          <w:rFonts w:ascii="Symbol" w:hAnsi="Symbol"/>
          <w:lang w:val="de-DE"/>
        </w:rPr>
        <w:t></w:t>
      </w:r>
      <w:r w:rsidRPr="002A6BA8">
        <w:rPr>
          <w:rFonts w:ascii="Symbol" w:hAnsi="Symbol"/>
          <w:lang w:val="de-DE"/>
        </w:rPr>
        <w:t></w:t>
      </w:r>
      <w:r w:rsidRPr="002A6BA8">
        <w:rPr>
          <w:rFonts w:ascii="Symbol" w:hAnsi="Symbol"/>
          <w:lang w:val="de-DE"/>
        </w:rPr>
        <w:t></w:t>
      </w:r>
      <w:r w:rsidRPr="002A6BA8">
        <w:rPr>
          <w:rFonts w:ascii="Symbol" w:hAnsi="Symbol"/>
          <w:lang w:val="de-DE"/>
        </w:rPr>
        <w:t></w:t>
      </w:r>
      <w:r w:rsidRPr="002A6BA8">
        <w:rPr>
          <w:rFonts w:ascii="Symbol" w:hAnsi="Symbol"/>
          <w:lang w:val="de-DE"/>
        </w:rPr>
        <w:t></w:t>
      </w:r>
      <w:r w:rsidRPr="002A6BA8">
        <w:rPr>
          <w:lang w:val="de-DE"/>
        </w:rPr>
        <w:t>dynamics at selected probe wavelength</w:t>
      </w:r>
      <w:r w:rsidR="007937FE" w:rsidRPr="002A6BA8">
        <w:rPr>
          <w:lang w:val="de-DE"/>
        </w:rPr>
        <w:t>s</w:t>
      </w:r>
      <w:r w:rsidRPr="002A6BA8">
        <w:rPr>
          <w:lang w:val="de-DE"/>
        </w:rPr>
        <w:t xml:space="preserve"> as indicated in the legend, corresponding to the three main PB bands as indicated by the arrows in Figure 2 a,d. </w:t>
      </w:r>
      <w:r w:rsidRPr="002A6BA8">
        <w:rPr>
          <w:b/>
          <w:lang w:val="de-DE"/>
        </w:rPr>
        <w:t xml:space="preserve">c, f.  </w:t>
      </w:r>
      <w:r w:rsidRPr="002A6BA8">
        <w:rPr>
          <w:lang w:val="de-DE"/>
        </w:rPr>
        <w:t>Cartoon of the energy diagram scheme for the MAPbI</w:t>
      </w:r>
      <w:r w:rsidRPr="002A6BA8">
        <w:rPr>
          <w:vertAlign w:val="subscript"/>
          <w:lang w:val="de-DE"/>
        </w:rPr>
        <w:t>3</w:t>
      </w:r>
      <w:r w:rsidRPr="002A6BA8">
        <w:rPr>
          <w:lang w:val="de-DE"/>
        </w:rPr>
        <w:t xml:space="preserve"> and MAPbI</w:t>
      </w:r>
      <w:r w:rsidRPr="002A6BA8">
        <w:rPr>
          <w:vertAlign w:val="subscript"/>
          <w:lang w:val="de-DE"/>
        </w:rPr>
        <w:t>3</w:t>
      </w:r>
      <w:r w:rsidRPr="002A6BA8">
        <w:rPr>
          <w:lang w:val="de-DE"/>
        </w:rPr>
        <w:t>:C</w:t>
      </w:r>
      <w:r w:rsidRPr="002A6BA8">
        <w:rPr>
          <w:vertAlign w:val="subscript"/>
          <w:lang w:val="de-DE"/>
        </w:rPr>
        <w:t>70</w:t>
      </w:r>
      <w:r w:rsidRPr="002A6BA8">
        <w:rPr>
          <w:lang w:val="de-DE"/>
        </w:rPr>
        <w:t>, respectively</w:t>
      </w:r>
      <w:r w:rsidR="00A35AA7" w:rsidRPr="002A6BA8">
        <w:rPr>
          <w:lang w:val="en-GB"/>
        </w:rPr>
        <w:t xml:space="preserve"> deposited on compact glass substrate and encapsulated with PMMA.</w:t>
      </w:r>
    </w:p>
    <w:p w:rsidR="00E05545" w:rsidRPr="002A6BA8" w:rsidRDefault="00E05545" w:rsidP="00F3113F">
      <w:pPr>
        <w:pStyle w:val="Legend"/>
        <w:rPr>
          <w:lang w:val="de-DE"/>
        </w:rPr>
      </w:pPr>
    </w:p>
    <w:p w:rsidR="00E05545" w:rsidRPr="002A6BA8" w:rsidRDefault="00E05545" w:rsidP="00F3113F">
      <w:pPr>
        <w:pStyle w:val="Legend"/>
        <w:rPr>
          <w:lang w:val="de-DE"/>
        </w:rPr>
      </w:pPr>
    </w:p>
    <w:p w:rsidR="00E05545" w:rsidRPr="002A6BA8" w:rsidRDefault="00E05545" w:rsidP="00F3113F">
      <w:pPr>
        <w:pStyle w:val="Legend"/>
        <w:rPr>
          <w:b/>
          <w:noProof/>
          <w:sz w:val="28"/>
          <w:lang w:val="en-GB" w:eastAsia="en-GB"/>
        </w:rPr>
      </w:pPr>
    </w:p>
    <w:p w:rsidR="00DB60D3" w:rsidRPr="002A6BA8" w:rsidRDefault="00DB60D3" w:rsidP="00F3113F">
      <w:pPr>
        <w:pStyle w:val="Legend"/>
        <w:rPr>
          <w:b/>
          <w:noProof/>
          <w:sz w:val="28"/>
          <w:lang w:val="en-GB" w:eastAsia="en-GB"/>
        </w:rPr>
      </w:pPr>
    </w:p>
    <w:p w:rsidR="00DB60D3" w:rsidRPr="002A6BA8" w:rsidRDefault="00DB60D3" w:rsidP="00F3113F">
      <w:pPr>
        <w:pStyle w:val="Legend"/>
        <w:rPr>
          <w:b/>
          <w:noProof/>
          <w:sz w:val="28"/>
          <w:lang w:val="en-GB" w:eastAsia="en-GB"/>
        </w:rPr>
      </w:pPr>
    </w:p>
    <w:p w:rsidR="00DB60D3" w:rsidRPr="002A6BA8" w:rsidRDefault="00DB60D3" w:rsidP="00F3113F">
      <w:pPr>
        <w:pStyle w:val="Legend"/>
        <w:rPr>
          <w:b/>
          <w:noProof/>
          <w:sz w:val="28"/>
          <w:lang w:val="en-GB" w:eastAsia="en-GB"/>
        </w:rPr>
      </w:pPr>
    </w:p>
    <w:p w:rsidR="00DB60D3" w:rsidRPr="002A6BA8" w:rsidRDefault="00DB60D3" w:rsidP="00F3113F">
      <w:pPr>
        <w:pStyle w:val="Legend"/>
        <w:rPr>
          <w:b/>
          <w:noProof/>
          <w:sz w:val="28"/>
          <w:lang w:val="en-GB" w:eastAsia="en-GB"/>
        </w:rPr>
      </w:pPr>
    </w:p>
    <w:p w:rsidR="00DB60D3" w:rsidRPr="002A6BA8" w:rsidRDefault="00DB60D3" w:rsidP="00F3113F">
      <w:pPr>
        <w:pStyle w:val="Legend"/>
        <w:rPr>
          <w:b/>
          <w:noProof/>
          <w:sz w:val="28"/>
          <w:lang w:val="en-GB" w:eastAsia="en-GB"/>
        </w:rPr>
      </w:pPr>
    </w:p>
    <w:p w:rsidR="00DB60D3" w:rsidRPr="002A6BA8" w:rsidRDefault="00DB60D3" w:rsidP="00F3113F">
      <w:pPr>
        <w:pStyle w:val="Legend"/>
        <w:rPr>
          <w:b/>
          <w:noProof/>
          <w:sz w:val="28"/>
          <w:lang w:val="en-GB" w:eastAsia="en-GB"/>
        </w:rPr>
      </w:pPr>
    </w:p>
    <w:p w:rsidR="00DB60D3" w:rsidRPr="002A6BA8" w:rsidRDefault="00DB60D3" w:rsidP="00F3113F">
      <w:pPr>
        <w:pStyle w:val="Legend"/>
        <w:rPr>
          <w:b/>
          <w:noProof/>
          <w:sz w:val="28"/>
          <w:lang w:val="en-GB" w:eastAsia="en-GB"/>
        </w:rPr>
      </w:pPr>
    </w:p>
    <w:p w:rsidR="00E05545" w:rsidRPr="002A6BA8" w:rsidRDefault="00BB3F68" w:rsidP="00F3113F">
      <w:pPr>
        <w:pStyle w:val="Legend"/>
        <w:rPr>
          <w:b/>
          <w:noProof/>
          <w:sz w:val="28"/>
          <w:lang w:eastAsia="en-GB"/>
        </w:rPr>
      </w:pPr>
      <w:r w:rsidRPr="002A6BA8">
        <w:rPr>
          <w:b/>
          <w:noProof/>
          <w:sz w:val="28"/>
          <w:lang w:val="en-GB" w:eastAsia="en-GB"/>
        </w:rPr>
        <w:lastRenderedPageBreak/>
        <w:t xml:space="preserve"> </w:t>
      </w:r>
      <w:r w:rsidR="00CE076A" w:rsidRPr="002A6BA8">
        <w:rPr>
          <w:noProof/>
          <w:lang w:val="en-GB" w:eastAsia="en-GB"/>
        </w:rPr>
        <w:drawing>
          <wp:inline distT="0" distB="0" distL="0" distR="0">
            <wp:extent cx="5801995" cy="245999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l="2795" t="1616" r="3676" b="1616"/>
                    <a:stretch>
                      <a:fillRect/>
                    </a:stretch>
                  </pic:blipFill>
                  <pic:spPr bwMode="auto">
                    <a:xfrm>
                      <a:off x="0" y="0"/>
                      <a:ext cx="5801995" cy="2459990"/>
                    </a:xfrm>
                    <a:prstGeom prst="rect">
                      <a:avLst/>
                    </a:prstGeom>
                    <a:noFill/>
                    <a:ln>
                      <a:noFill/>
                    </a:ln>
                  </pic:spPr>
                </pic:pic>
              </a:graphicData>
            </a:graphic>
          </wp:inline>
        </w:drawing>
      </w:r>
    </w:p>
    <w:p w:rsidR="00E05545" w:rsidRPr="002A6BA8" w:rsidRDefault="00E05545" w:rsidP="00F3113F">
      <w:pPr>
        <w:pStyle w:val="Legend"/>
        <w:rPr>
          <w:b/>
          <w:lang w:val="de-DE"/>
        </w:rPr>
      </w:pPr>
    </w:p>
    <w:p w:rsidR="00AB40C6" w:rsidRPr="002A6BA8" w:rsidRDefault="00E05545" w:rsidP="00F3113F">
      <w:pPr>
        <w:pStyle w:val="Legend"/>
        <w:rPr>
          <w:lang w:val="de-DE"/>
        </w:rPr>
      </w:pPr>
      <w:r w:rsidRPr="002A6BA8">
        <w:rPr>
          <w:b/>
          <w:lang w:val="de-DE"/>
        </w:rPr>
        <w:t>Figure 3. a, b, c.</w:t>
      </w:r>
      <w:r w:rsidRPr="002A6BA8">
        <w:rPr>
          <w:lang w:val="de-DE"/>
        </w:rPr>
        <w:t xml:space="preserve"> Device schemes and </w:t>
      </w:r>
      <w:r w:rsidRPr="002A6BA8">
        <w:rPr>
          <w:b/>
          <w:lang w:val="de-DE"/>
        </w:rPr>
        <w:t>d, e, f.</w:t>
      </w:r>
      <w:r w:rsidRPr="002A6BA8">
        <w:rPr>
          <w:lang w:val="de-DE"/>
        </w:rPr>
        <w:t xml:space="preserve"> current- voltage (J-V) characteristics comparing the devices using MAPbI</w:t>
      </w:r>
      <w:r w:rsidRPr="002A6BA8">
        <w:rPr>
          <w:vertAlign w:val="subscript"/>
          <w:lang w:val="de-DE"/>
        </w:rPr>
        <w:t>3</w:t>
      </w:r>
      <w:r w:rsidRPr="002A6BA8">
        <w:rPr>
          <w:lang w:val="de-DE"/>
        </w:rPr>
        <w:t xml:space="preserve"> with and </w:t>
      </w:r>
      <w:r w:rsidR="007937FE" w:rsidRPr="002A6BA8">
        <w:rPr>
          <w:lang w:val="de-DE"/>
        </w:rPr>
        <w:t>without</w:t>
      </w:r>
      <w:r w:rsidRPr="002A6BA8">
        <w:rPr>
          <w:lang w:val="de-DE"/>
        </w:rPr>
        <w:t xml:space="preserve"> the C</w:t>
      </w:r>
      <w:r w:rsidRPr="002A6BA8">
        <w:rPr>
          <w:vertAlign w:val="subscript"/>
          <w:lang w:val="de-DE"/>
        </w:rPr>
        <w:t>70</w:t>
      </w:r>
      <w:r w:rsidRPr="002A6BA8">
        <w:rPr>
          <w:lang w:val="de-DE"/>
        </w:rPr>
        <w:t xml:space="preserve"> blend in three different architectures where the perovskite is deposited  directly on the conductive FTO glass, in a ETL-free configuration, on compact-TiO</w:t>
      </w:r>
      <w:r w:rsidRPr="002A6BA8">
        <w:rPr>
          <w:vertAlign w:val="subscript"/>
          <w:lang w:val="de-DE"/>
        </w:rPr>
        <w:t>2</w:t>
      </w:r>
      <w:r w:rsidRPr="002A6BA8">
        <w:rPr>
          <w:lang w:val="de-DE"/>
        </w:rPr>
        <w:t xml:space="preserve"> or infiltrated in the mesoporous-TiO</w:t>
      </w:r>
      <w:r w:rsidRPr="002A6BA8">
        <w:rPr>
          <w:vertAlign w:val="subscript"/>
          <w:lang w:val="de-DE"/>
        </w:rPr>
        <w:t>2</w:t>
      </w:r>
      <w:r w:rsidRPr="002A6BA8">
        <w:rPr>
          <w:lang w:val="de-DE"/>
        </w:rPr>
        <w:t xml:space="preserve"> scaffold. </w:t>
      </w:r>
    </w:p>
    <w:p w:rsidR="00DB60D3" w:rsidRPr="002A6BA8" w:rsidRDefault="00DB60D3" w:rsidP="00F3113F">
      <w:pPr>
        <w:pStyle w:val="Legend"/>
        <w:rPr>
          <w:lang w:val="de-DE"/>
        </w:rPr>
      </w:pPr>
    </w:p>
    <w:p w:rsidR="00E05545" w:rsidRPr="002A6BA8" w:rsidRDefault="00E05545" w:rsidP="00F3113F">
      <w:pPr>
        <w:pStyle w:val="Legend"/>
        <w:rPr>
          <w:lang w:val="de-DE"/>
        </w:rPr>
      </w:pPr>
    </w:p>
    <w:p w:rsidR="00AB40C6" w:rsidRPr="002A6BA8" w:rsidRDefault="00AB40C6" w:rsidP="00F3113F">
      <w:pPr>
        <w:pStyle w:val="Legend"/>
      </w:pPr>
      <w:r w:rsidRPr="002A6BA8">
        <w:rPr>
          <w:b/>
        </w:rPr>
        <w:t>Table 1.</w:t>
      </w:r>
      <w:r w:rsidRPr="002A6BA8">
        <w:t xml:space="preserve"> Device parameters (J</w:t>
      </w:r>
      <w:r w:rsidR="008C506D" w:rsidRPr="002A6BA8">
        <w:rPr>
          <w:vertAlign w:val="subscript"/>
        </w:rPr>
        <w:t>SC</w:t>
      </w:r>
      <w:r w:rsidRPr="002A6BA8">
        <w:t>, V</w:t>
      </w:r>
      <w:r w:rsidRPr="002A6BA8">
        <w:rPr>
          <w:vertAlign w:val="subscript"/>
        </w:rPr>
        <w:t>oc</w:t>
      </w:r>
      <w:r w:rsidRPr="002A6BA8">
        <w:t xml:space="preserve">, FF, PCE) for the devices reported in Figures 3 d, e, f) </w:t>
      </w:r>
    </w:p>
    <w:tbl>
      <w:tblPr>
        <w:tblW w:w="0" w:type="auto"/>
        <w:tblLook w:val="01E0" w:firstRow="1" w:lastRow="1" w:firstColumn="1" w:lastColumn="1" w:noHBand="0" w:noVBand="0"/>
      </w:tblPr>
      <w:tblGrid>
        <w:gridCol w:w="1388"/>
        <w:gridCol w:w="1042"/>
        <w:gridCol w:w="1042"/>
        <w:gridCol w:w="1042"/>
        <w:gridCol w:w="1043"/>
      </w:tblGrid>
      <w:tr w:rsidR="002A6BA8" w:rsidRPr="002A6BA8" w:rsidTr="00F3113F">
        <w:tc>
          <w:tcPr>
            <w:tcW w:w="1388" w:type="dxa"/>
            <w:tcBorders>
              <w:top w:val="single" w:sz="4" w:space="0" w:color="000000"/>
              <w:bottom w:val="single" w:sz="4" w:space="0" w:color="000000"/>
            </w:tcBorders>
            <w:shd w:val="clear" w:color="auto" w:fill="auto"/>
          </w:tcPr>
          <w:p w:rsidR="00AB40C6" w:rsidRPr="002A6BA8" w:rsidRDefault="00AB40C6" w:rsidP="00F3113F">
            <w:pPr>
              <w:pStyle w:val="TableHead"/>
              <w:jc w:val="left"/>
              <w:rPr>
                <w:lang w:val="en-US"/>
              </w:rPr>
            </w:pPr>
            <w:r w:rsidRPr="002A6BA8">
              <w:rPr>
                <w:lang w:val="en-US"/>
              </w:rPr>
              <w:t>Sample</w:t>
            </w:r>
          </w:p>
        </w:tc>
        <w:tc>
          <w:tcPr>
            <w:tcW w:w="1042" w:type="dxa"/>
            <w:tcBorders>
              <w:top w:val="single" w:sz="4" w:space="0" w:color="000000"/>
              <w:bottom w:val="single" w:sz="4" w:space="0" w:color="000000"/>
            </w:tcBorders>
            <w:shd w:val="clear" w:color="auto" w:fill="auto"/>
          </w:tcPr>
          <w:p w:rsidR="00AB40C6" w:rsidRPr="002A6BA8" w:rsidRDefault="00AB40C6" w:rsidP="00F3113F">
            <w:pPr>
              <w:pStyle w:val="TableHead"/>
              <w:jc w:val="left"/>
              <w:rPr>
                <w:lang w:val="en-US"/>
              </w:rPr>
            </w:pPr>
            <w:r w:rsidRPr="002A6BA8">
              <w:rPr>
                <w:lang w:val="en-US"/>
              </w:rPr>
              <w:t>J</w:t>
            </w:r>
            <w:r w:rsidRPr="002A6BA8">
              <w:rPr>
                <w:vertAlign w:val="subscript"/>
                <w:lang w:val="en-US"/>
              </w:rPr>
              <w:t xml:space="preserve">sc </w:t>
            </w:r>
          </w:p>
          <w:p w:rsidR="00AB40C6" w:rsidRPr="002A6BA8" w:rsidRDefault="00AB40C6" w:rsidP="00F3113F">
            <w:pPr>
              <w:pStyle w:val="TableHead"/>
              <w:jc w:val="left"/>
              <w:rPr>
                <w:lang w:val="en-US"/>
              </w:rPr>
            </w:pPr>
            <w:r w:rsidRPr="002A6BA8">
              <w:rPr>
                <w:lang w:val="en-US"/>
              </w:rPr>
              <w:t>[mAcm</w:t>
            </w:r>
            <w:r w:rsidRPr="002A6BA8">
              <w:rPr>
                <w:vertAlign w:val="superscript"/>
                <w:lang w:val="en-US"/>
              </w:rPr>
              <w:t>-2</w:t>
            </w:r>
            <w:r w:rsidRPr="002A6BA8">
              <w:rPr>
                <w:lang w:val="en-US"/>
              </w:rPr>
              <w:t>]</w:t>
            </w:r>
          </w:p>
        </w:tc>
        <w:tc>
          <w:tcPr>
            <w:tcW w:w="1042" w:type="dxa"/>
            <w:tcBorders>
              <w:top w:val="single" w:sz="4" w:space="0" w:color="000000"/>
              <w:bottom w:val="single" w:sz="4" w:space="0" w:color="000000"/>
            </w:tcBorders>
            <w:shd w:val="clear" w:color="auto" w:fill="auto"/>
          </w:tcPr>
          <w:p w:rsidR="00694530" w:rsidRPr="002A6BA8" w:rsidRDefault="00AB40C6" w:rsidP="00F3113F">
            <w:pPr>
              <w:pStyle w:val="TableHead"/>
              <w:jc w:val="left"/>
              <w:rPr>
                <w:vertAlign w:val="subscript"/>
                <w:lang w:val="en-US"/>
              </w:rPr>
            </w:pPr>
            <w:r w:rsidRPr="002A6BA8">
              <w:rPr>
                <w:lang w:val="en-US"/>
              </w:rPr>
              <w:t>V</w:t>
            </w:r>
            <w:r w:rsidRPr="002A6BA8">
              <w:rPr>
                <w:vertAlign w:val="subscript"/>
                <w:lang w:val="en-US"/>
              </w:rPr>
              <w:t xml:space="preserve">oc </w:t>
            </w:r>
          </w:p>
          <w:p w:rsidR="00AB40C6" w:rsidRPr="002A6BA8" w:rsidRDefault="00AB40C6" w:rsidP="00F3113F">
            <w:pPr>
              <w:pStyle w:val="TableHead"/>
              <w:jc w:val="left"/>
              <w:rPr>
                <w:vertAlign w:val="subscript"/>
                <w:lang w:val="en-US"/>
              </w:rPr>
            </w:pPr>
            <w:r w:rsidRPr="002A6BA8">
              <w:rPr>
                <w:lang w:val="en-US"/>
              </w:rPr>
              <w:t>[V]</w:t>
            </w:r>
          </w:p>
        </w:tc>
        <w:tc>
          <w:tcPr>
            <w:tcW w:w="1042" w:type="dxa"/>
            <w:tcBorders>
              <w:top w:val="single" w:sz="4" w:space="0" w:color="000000"/>
              <w:bottom w:val="single" w:sz="4" w:space="0" w:color="000000"/>
            </w:tcBorders>
            <w:shd w:val="clear" w:color="auto" w:fill="auto"/>
          </w:tcPr>
          <w:p w:rsidR="00AB40C6" w:rsidRPr="002A6BA8" w:rsidRDefault="00AB40C6" w:rsidP="00F3113F">
            <w:pPr>
              <w:pStyle w:val="TableHead"/>
              <w:jc w:val="left"/>
              <w:rPr>
                <w:lang w:val="en-US"/>
              </w:rPr>
            </w:pPr>
            <w:r w:rsidRPr="002A6BA8">
              <w:rPr>
                <w:lang w:val="en-US"/>
              </w:rPr>
              <w:t>FF</w:t>
            </w:r>
          </w:p>
        </w:tc>
        <w:tc>
          <w:tcPr>
            <w:tcW w:w="1043" w:type="dxa"/>
            <w:tcBorders>
              <w:top w:val="single" w:sz="4" w:space="0" w:color="000000"/>
              <w:bottom w:val="single" w:sz="4" w:space="0" w:color="000000"/>
            </w:tcBorders>
            <w:shd w:val="clear" w:color="auto" w:fill="auto"/>
          </w:tcPr>
          <w:p w:rsidR="00694530" w:rsidRPr="002A6BA8" w:rsidRDefault="00AB40C6" w:rsidP="00F3113F">
            <w:pPr>
              <w:pStyle w:val="TableHead"/>
              <w:jc w:val="left"/>
              <w:rPr>
                <w:lang w:val="en-US"/>
              </w:rPr>
            </w:pPr>
            <w:r w:rsidRPr="002A6BA8">
              <w:rPr>
                <w:lang w:val="en-US"/>
              </w:rPr>
              <w:t>PCE</w:t>
            </w:r>
          </w:p>
          <w:p w:rsidR="00AB40C6" w:rsidRPr="002A6BA8" w:rsidRDefault="00AB40C6" w:rsidP="00F3113F">
            <w:pPr>
              <w:pStyle w:val="TableHead"/>
              <w:jc w:val="left"/>
              <w:rPr>
                <w:lang w:val="en-US"/>
              </w:rPr>
            </w:pPr>
            <w:r w:rsidRPr="002A6BA8">
              <w:rPr>
                <w:lang w:val="en-US"/>
              </w:rPr>
              <w:t>[%]</w:t>
            </w:r>
          </w:p>
        </w:tc>
      </w:tr>
      <w:tr w:rsidR="002A6BA8" w:rsidRPr="002A6BA8" w:rsidTr="00F3113F">
        <w:tc>
          <w:tcPr>
            <w:tcW w:w="1388" w:type="dxa"/>
            <w:tcBorders>
              <w:top w:val="single" w:sz="4" w:space="0" w:color="000000"/>
            </w:tcBorders>
            <w:shd w:val="clear" w:color="auto" w:fill="auto"/>
          </w:tcPr>
          <w:p w:rsidR="00AB40C6" w:rsidRPr="002A6BA8" w:rsidRDefault="00AB40C6" w:rsidP="00A92DE8">
            <w:pPr>
              <w:pStyle w:val="TableBody"/>
              <w:jc w:val="left"/>
              <w:rPr>
                <w:lang w:val="en-US"/>
              </w:rPr>
            </w:pPr>
            <w:r w:rsidRPr="002A6BA8">
              <w:rPr>
                <w:lang w:val="en-US"/>
              </w:rPr>
              <w:t>FTO/MAPbI</w:t>
            </w:r>
            <w:r w:rsidRPr="002A6BA8">
              <w:rPr>
                <w:vertAlign w:val="subscript"/>
                <w:lang w:val="en-US"/>
              </w:rPr>
              <w:t>3</w:t>
            </w:r>
          </w:p>
        </w:tc>
        <w:tc>
          <w:tcPr>
            <w:tcW w:w="1042" w:type="dxa"/>
            <w:tcBorders>
              <w:top w:val="single" w:sz="4" w:space="0" w:color="000000"/>
            </w:tcBorders>
            <w:shd w:val="clear" w:color="auto" w:fill="auto"/>
          </w:tcPr>
          <w:p w:rsidR="00AB40C6" w:rsidRPr="002A6BA8" w:rsidRDefault="00AB40C6" w:rsidP="00F3113F">
            <w:pPr>
              <w:pStyle w:val="TableBody"/>
              <w:jc w:val="left"/>
              <w:rPr>
                <w:lang w:val="en-US"/>
              </w:rPr>
            </w:pPr>
            <w:r w:rsidRPr="002A6BA8">
              <w:rPr>
                <w:lang w:val="en-US"/>
              </w:rPr>
              <w:t>20.64</w:t>
            </w:r>
          </w:p>
        </w:tc>
        <w:tc>
          <w:tcPr>
            <w:tcW w:w="1042" w:type="dxa"/>
            <w:tcBorders>
              <w:top w:val="single" w:sz="4" w:space="0" w:color="000000"/>
            </w:tcBorders>
            <w:shd w:val="clear" w:color="auto" w:fill="auto"/>
          </w:tcPr>
          <w:p w:rsidR="00AB40C6" w:rsidRPr="002A6BA8" w:rsidRDefault="00AB40C6" w:rsidP="00F3113F">
            <w:pPr>
              <w:pStyle w:val="TableBody"/>
              <w:jc w:val="left"/>
              <w:rPr>
                <w:lang w:val="en-US"/>
              </w:rPr>
            </w:pPr>
            <w:r w:rsidRPr="002A6BA8">
              <w:rPr>
                <w:lang w:val="en-US"/>
              </w:rPr>
              <w:t>1.046</w:t>
            </w:r>
          </w:p>
        </w:tc>
        <w:tc>
          <w:tcPr>
            <w:tcW w:w="1042" w:type="dxa"/>
            <w:tcBorders>
              <w:top w:val="single" w:sz="4" w:space="0" w:color="000000"/>
            </w:tcBorders>
            <w:shd w:val="clear" w:color="auto" w:fill="auto"/>
          </w:tcPr>
          <w:p w:rsidR="00AB40C6" w:rsidRPr="002A6BA8" w:rsidRDefault="00AB40C6" w:rsidP="00F3113F">
            <w:pPr>
              <w:pStyle w:val="TableBody"/>
              <w:jc w:val="left"/>
              <w:rPr>
                <w:lang w:val="en-US"/>
              </w:rPr>
            </w:pPr>
            <w:r w:rsidRPr="002A6BA8">
              <w:rPr>
                <w:lang w:val="en-US"/>
              </w:rPr>
              <w:t>0.67</w:t>
            </w:r>
          </w:p>
        </w:tc>
        <w:tc>
          <w:tcPr>
            <w:tcW w:w="1043" w:type="dxa"/>
            <w:tcBorders>
              <w:top w:val="single" w:sz="4" w:space="0" w:color="000000"/>
            </w:tcBorders>
            <w:shd w:val="clear" w:color="auto" w:fill="auto"/>
          </w:tcPr>
          <w:p w:rsidR="00AB40C6" w:rsidRPr="002A6BA8" w:rsidRDefault="00AB40C6" w:rsidP="00F3113F">
            <w:pPr>
              <w:pStyle w:val="TableBody"/>
              <w:jc w:val="left"/>
              <w:rPr>
                <w:lang w:val="en-US"/>
              </w:rPr>
            </w:pPr>
            <w:r w:rsidRPr="002A6BA8">
              <w:rPr>
                <w:lang w:val="en-US"/>
              </w:rPr>
              <w:t>14.65</w:t>
            </w:r>
          </w:p>
        </w:tc>
      </w:tr>
      <w:tr w:rsidR="002A6BA8" w:rsidRPr="002A6BA8" w:rsidTr="00F3113F">
        <w:tc>
          <w:tcPr>
            <w:tcW w:w="1388" w:type="dxa"/>
            <w:shd w:val="clear" w:color="auto" w:fill="auto"/>
          </w:tcPr>
          <w:p w:rsidR="00AB40C6" w:rsidRPr="002A6BA8" w:rsidRDefault="00AB40C6" w:rsidP="00A92DE8">
            <w:pPr>
              <w:pStyle w:val="TableBody"/>
              <w:jc w:val="left"/>
              <w:rPr>
                <w:lang w:val="en-US"/>
              </w:rPr>
            </w:pPr>
            <w:r w:rsidRPr="002A6BA8">
              <w:rPr>
                <w:lang w:val="en-US"/>
              </w:rPr>
              <w:t>FTO/MAPbI</w:t>
            </w:r>
            <w:r w:rsidRPr="002A6BA8">
              <w:rPr>
                <w:vertAlign w:val="subscript"/>
                <w:lang w:val="en-US"/>
              </w:rPr>
              <w:t>3</w:t>
            </w:r>
            <w:r w:rsidRPr="002A6BA8">
              <w:rPr>
                <w:lang w:val="en-US"/>
              </w:rPr>
              <w:t>:C</w:t>
            </w:r>
            <w:r w:rsidRPr="002A6BA8">
              <w:rPr>
                <w:vertAlign w:val="subscript"/>
                <w:lang w:val="en-US"/>
              </w:rPr>
              <w:t>70</w:t>
            </w:r>
          </w:p>
        </w:tc>
        <w:tc>
          <w:tcPr>
            <w:tcW w:w="1042" w:type="dxa"/>
            <w:shd w:val="clear" w:color="auto" w:fill="auto"/>
          </w:tcPr>
          <w:p w:rsidR="00AB40C6" w:rsidRPr="002A6BA8" w:rsidRDefault="00AB40C6" w:rsidP="00F3113F">
            <w:pPr>
              <w:pStyle w:val="TableBody"/>
              <w:jc w:val="left"/>
              <w:rPr>
                <w:lang w:val="en-US"/>
              </w:rPr>
            </w:pPr>
            <w:r w:rsidRPr="002A6BA8">
              <w:rPr>
                <w:lang w:val="en-US"/>
              </w:rPr>
              <w:t>20.44</w:t>
            </w:r>
          </w:p>
        </w:tc>
        <w:tc>
          <w:tcPr>
            <w:tcW w:w="1042" w:type="dxa"/>
            <w:shd w:val="clear" w:color="auto" w:fill="auto"/>
          </w:tcPr>
          <w:p w:rsidR="00AB40C6" w:rsidRPr="002A6BA8" w:rsidRDefault="00AB40C6" w:rsidP="00F3113F">
            <w:pPr>
              <w:pStyle w:val="TableBody"/>
              <w:jc w:val="left"/>
              <w:rPr>
                <w:lang w:val="en-US"/>
              </w:rPr>
            </w:pPr>
            <w:r w:rsidRPr="002A6BA8">
              <w:rPr>
                <w:lang w:val="en-US"/>
              </w:rPr>
              <w:t>1.065</w:t>
            </w:r>
          </w:p>
        </w:tc>
        <w:tc>
          <w:tcPr>
            <w:tcW w:w="1042" w:type="dxa"/>
            <w:shd w:val="clear" w:color="auto" w:fill="auto"/>
          </w:tcPr>
          <w:p w:rsidR="00AB40C6" w:rsidRPr="002A6BA8" w:rsidRDefault="00AB40C6" w:rsidP="00F3113F">
            <w:pPr>
              <w:pStyle w:val="TableBody"/>
              <w:jc w:val="left"/>
              <w:rPr>
                <w:lang w:val="en-US"/>
              </w:rPr>
            </w:pPr>
            <w:r w:rsidRPr="002A6BA8">
              <w:rPr>
                <w:lang w:val="en-US"/>
              </w:rPr>
              <w:t>0.72</w:t>
            </w:r>
          </w:p>
        </w:tc>
        <w:tc>
          <w:tcPr>
            <w:tcW w:w="1043" w:type="dxa"/>
            <w:shd w:val="clear" w:color="auto" w:fill="auto"/>
          </w:tcPr>
          <w:p w:rsidR="00AB40C6" w:rsidRPr="002A6BA8" w:rsidRDefault="00AB40C6" w:rsidP="00F3113F">
            <w:pPr>
              <w:pStyle w:val="TableBody"/>
              <w:jc w:val="left"/>
              <w:rPr>
                <w:lang w:val="en-US"/>
              </w:rPr>
            </w:pPr>
            <w:r w:rsidRPr="002A6BA8">
              <w:rPr>
                <w:lang w:val="en-US"/>
              </w:rPr>
              <w:t>15.71</w:t>
            </w:r>
          </w:p>
        </w:tc>
      </w:tr>
      <w:tr w:rsidR="002A6BA8" w:rsidRPr="002A6BA8" w:rsidTr="00F3113F">
        <w:tc>
          <w:tcPr>
            <w:tcW w:w="1388" w:type="dxa"/>
            <w:shd w:val="clear" w:color="auto" w:fill="auto"/>
          </w:tcPr>
          <w:p w:rsidR="00AB40C6" w:rsidRPr="002A6BA8" w:rsidRDefault="00AB40C6" w:rsidP="00A92DE8">
            <w:pPr>
              <w:pStyle w:val="TableBody"/>
              <w:jc w:val="left"/>
              <w:rPr>
                <w:lang w:val="en-US"/>
              </w:rPr>
            </w:pPr>
            <w:r w:rsidRPr="002A6BA8">
              <w:rPr>
                <w:lang w:val="en-US"/>
              </w:rPr>
              <w:t>FTO/c-TiO</w:t>
            </w:r>
            <w:r w:rsidRPr="002A6BA8">
              <w:rPr>
                <w:vertAlign w:val="subscript"/>
                <w:lang w:val="en-US"/>
              </w:rPr>
              <w:t>2</w:t>
            </w:r>
            <w:r w:rsidRPr="002A6BA8">
              <w:rPr>
                <w:lang w:val="en-US"/>
              </w:rPr>
              <w:t>/ MAPbI</w:t>
            </w:r>
            <w:r w:rsidRPr="002A6BA8">
              <w:rPr>
                <w:vertAlign w:val="subscript"/>
                <w:lang w:val="en-US"/>
              </w:rPr>
              <w:t>3</w:t>
            </w:r>
          </w:p>
        </w:tc>
        <w:tc>
          <w:tcPr>
            <w:tcW w:w="1042" w:type="dxa"/>
            <w:shd w:val="clear" w:color="auto" w:fill="auto"/>
          </w:tcPr>
          <w:p w:rsidR="00AB40C6" w:rsidRPr="002A6BA8" w:rsidRDefault="00AB40C6" w:rsidP="00F3113F">
            <w:pPr>
              <w:pStyle w:val="TableBody"/>
              <w:jc w:val="left"/>
              <w:rPr>
                <w:lang w:val="en-US"/>
              </w:rPr>
            </w:pPr>
            <w:r w:rsidRPr="002A6BA8">
              <w:rPr>
                <w:lang w:val="en-US"/>
              </w:rPr>
              <w:t>21.45</w:t>
            </w:r>
          </w:p>
        </w:tc>
        <w:tc>
          <w:tcPr>
            <w:tcW w:w="1042" w:type="dxa"/>
            <w:shd w:val="clear" w:color="auto" w:fill="auto"/>
          </w:tcPr>
          <w:p w:rsidR="00AB40C6" w:rsidRPr="002A6BA8" w:rsidRDefault="00AB40C6" w:rsidP="00F3113F">
            <w:pPr>
              <w:pStyle w:val="TableBody"/>
              <w:jc w:val="left"/>
              <w:rPr>
                <w:lang w:val="en-US"/>
              </w:rPr>
            </w:pPr>
            <w:r w:rsidRPr="002A6BA8">
              <w:rPr>
                <w:lang w:val="en-US"/>
              </w:rPr>
              <w:t>1.05</w:t>
            </w:r>
          </w:p>
        </w:tc>
        <w:tc>
          <w:tcPr>
            <w:tcW w:w="1042" w:type="dxa"/>
            <w:shd w:val="clear" w:color="auto" w:fill="auto"/>
          </w:tcPr>
          <w:p w:rsidR="00AB40C6" w:rsidRPr="002A6BA8" w:rsidRDefault="00AB40C6" w:rsidP="00F3113F">
            <w:pPr>
              <w:pStyle w:val="TableBody"/>
              <w:jc w:val="left"/>
              <w:rPr>
                <w:lang w:val="en-US"/>
              </w:rPr>
            </w:pPr>
            <w:r w:rsidRPr="002A6BA8">
              <w:rPr>
                <w:lang w:val="en-US"/>
              </w:rPr>
              <w:t>0.71</w:t>
            </w:r>
          </w:p>
        </w:tc>
        <w:tc>
          <w:tcPr>
            <w:tcW w:w="1043" w:type="dxa"/>
            <w:shd w:val="clear" w:color="auto" w:fill="auto"/>
          </w:tcPr>
          <w:p w:rsidR="00AB40C6" w:rsidRPr="002A6BA8" w:rsidRDefault="00AB40C6" w:rsidP="00F3113F">
            <w:pPr>
              <w:pStyle w:val="TableBody"/>
              <w:jc w:val="left"/>
              <w:rPr>
                <w:lang w:val="en-US"/>
              </w:rPr>
            </w:pPr>
            <w:r w:rsidRPr="002A6BA8">
              <w:rPr>
                <w:lang w:val="en-US"/>
              </w:rPr>
              <w:t>16.17</w:t>
            </w:r>
          </w:p>
        </w:tc>
      </w:tr>
      <w:tr w:rsidR="002A6BA8" w:rsidRPr="002A6BA8" w:rsidTr="00F3113F">
        <w:tc>
          <w:tcPr>
            <w:tcW w:w="1388" w:type="dxa"/>
            <w:shd w:val="clear" w:color="auto" w:fill="auto"/>
          </w:tcPr>
          <w:p w:rsidR="00AB40C6" w:rsidRPr="002A6BA8" w:rsidRDefault="00AB40C6" w:rsidP="00A92DE8">
            <w:pPr>
              <w:pStyle w:val="TableBody"/>
              <w:jc w:val="left"/>
              <w:rPr>
                <w:lang w:val="it-IT"/>
              </w:rPr>
            </w:pPr>
            <w:r w:rsidRPr="002A6BA8">
              <w:rPr>
                <w:lang w:val="it-IT"/>
              </w:rPr>
              <w:t>FTO/c-TiO</w:t>
            </w:r>
            <w:r w:rsidRPr="002A6BA8">
              <w:rPr>
                <w:vertAlign w:val="subscript"/>
                <w:lang w:val="it-IT"/>
              </w:rPr>
              <w:t>2</w:t>
            </w:r>
            <w:r w:rsidRPr="002A6BA8">
              <w:rPr>
                <w:lang w:val="it-IT"/>
              </w:rPr>
              <w:t>/ MAPbI</w:t>
            </w:r>
            <w:r w:rsidRPr="002A6BA8">
              <w:rPr>
                <w:vertAlign w:val="subscript"/>
                <w:lang w:val="it-IT"/>
              </w:rPr>
              <w:t>3</w:t>
            </w:r>
            <w:r w:rsidRPr="002A6BA8">
              <w:rPr>
                <w:lang w:val="it-IT"/>
              </w:rPr>
              <w:t>:C</w:t>
            </w:r>
            <w:r w:rsidRPr="002A6BA8">
              <w:rPr>
                <w:vertAlign w:val="subscript"/>
                <w:lang w:val="it-IT"/>
              </w:rPr>
              <w:t>70</w:t>
            </w:r>
          </w:p>
        </w:tc>
        <w:tc>
          <w:tcPr>
            <w:tcW w:w="1042" w:type="dxa"/>
            <w:shd w:val="clear" w:color="auto" w:fill="auto"/>
          </w:tcPr>
          <w:p w:rsidR="00AB40C6" w:rsidRPr="002A6BA8" w:rsidRDefault="00AB40C6" w:rsidP="00F3113F">
            <w:pPr>
              <w:pStyle w:val="TableBody"/>
              <w:jc w:val="left"/>
              <w:rPr>
                <w:lang w:val="it-IT"/>
              </w:rPr>
            </w:pPr>
            <w:r w:rsidRPr="002A6BA8">
              <w:rPr>
                <w:lang w:val="it-IT"/>
              </w:rPr>
              <w:t>21.79</w:t>
            </w:r>
          </w:p>
        </w:tc>
        <w:tc>
          <w:tcPr>
            <w:tcW w:w="1042" w:type="dxa"/>
            <w:shd w:val="clear" w:color="auto" w:fill="auto"/>
          </w:tcPr>
          <w:p w:rsidR="00AB40C6" w:rsidRPr="002A6BA8" w:rsidRDefault="00AB40C6" w:rsidP="00F3113F">
            <w:pPr>
              <w:pStyle w:val="TableBody"/>
              <w:jc w:val="left"/>
              <w:rPr>
                <w:lang w:val="it-IT"/>
              </w:rPr>
            </w:pPr>
            <w:r w:rsidRPr="002A6BA8">
              <w:rPr>
                <w:lang w:val="it-IT"/>
              </w:rPr>
              <w:t>1.0</w:t>
            </w:r>
            <w:r w:rsidR="00694530" w:rsidRPr="002A6BA8">
              <w:rPr>
                <w:lang w:val="it-IT"/>
              </w:rPr>
              <w:t>71</w:t>
            </w:r>
          </w:p>
        </w:tc>
        <w:tc>
          <w:tcPr>
            <w:tcW w:w="1042" w:type="dxa"/>
            <w:shd w:val="clear" w:color="auto" w:fill="auto"/>
          </w:tcPr>
          <w:p w:rsidR="00AB40C6" w:rsidRPr="002A6BA8" w:rsidRDefault="00694530" w:rsidP="00F3113F">
            <w:pPr>
              <w:pStyle w:val="TableBody"/>
              <w:jc w:val="left"/>
              <w:rPr>
                <w:lang w:val="it-IT"/>
              </w:rPr>
            </w:pPr>
            <w:r w:rsidRPr="002A6BA8">
              <w:rPr>
                <w:lang w:val="it-IT"/>
              </w:rPr>
              <w:t>0.73</w:t>
            </w:r>
          </w:p>
        </w:tc>
        <w:tc>
          <w:tcPr>
            <w:tcW w:w="1043" w:type="dxa"/>
            <w:shd w:val="clear" w:color="auto" w:fill="auto"/>
          </w:tcPr>
          <w:p w:rsidR="00AB40C6" w:rsidRPr="002A6BA8" w:rsidRDefault="00694530" w:rsidP="00F3113F">
            <w:pPr>
              <w:pStyle w:val="TableBody"/>
              <w:jc w:val="left"/>
              <w:rPr>
                <w:lang w:val="it-IT"/>
              </w:rPr>
            </w:pPr>
            <w:r w:rsidRPr="002A6BA8">
              <w:rPr>
                <w:lang w:val="it-IT"/>
              </w:rPr>
              <w:t>17.10</w:t>
            </w:r>
          </w:p>
        </w:tc>
      </w:tr>
      <w:tr w:rsidR="002A6BA8" w:rsidRPr="002A6BA8" w:rsidTr="00F3113F">
        <w:tc>
          <w:tcPr>
            <w:tcW w:w="1388" w:type="dxa"/>
            <w:shd w:val="clear" w:color="auto" w:fill="auto"/>
          </w:tcPr>
          <w:p w:rsidR="00AB40C6" w:rsidRPr="002A6BA8" w:rsidRDefault="00AB40C6" w:rsidP="00A92DE8">
            <w:pPr>
              <w:pStyle w:val="TableBody"/>
              <w:jc w:val="left"/>
              <w:rPr>
                <w:lang w:val="it-IT"/>
              </w:rPr>
            </w:pPr>
            <w:r w:rsidRPr="002A6BA8">
              <w:rPr>
                <w:lang w:val="it-IT"/>
              </w:rPr>
              <w:t>FTO/c-TiO</w:t>
            </w:r>
            <w:r w:rsidRPr="002A6BA8">
              <w:rPr>
                <w:vertAlign w:val="subscript"/>
                <w:lang w:val="it-IT"/>
              </w:rPr>
              <w:t>2</w:t>
            </w:r>
            <w:r w:rsidRPr="002A6BA8">
              <w:rPr>
                <w:lang w:val="it-IT"/>
              </w:rPr>
              <w:t>/ TiO</w:t>
            </w:r>
            <w:r w:rsidRPr="002A6BA8">
              <w:rPr>
                <w:vertAlign w:val="subscript"/>
                <w:lang w:val="it-IT"/>
              </w:rPr>
              <w:t>2</w:t>
            </w:r>
            <w:r w:rsidRPr="002A6BA8">
              <w:rPr>
                <w:lang w:val="it-IT"/>
              </w:rPr>
              <w:t>/MAPbI</w:t>
            </w:r>
            <w:r w:rsidRPr="002A6BA8">
              <w:rPr>
                <w:vertAlign w:val="subscript"/>
                <w:lang w:val="it-IT"/>
              </w:rPr>
              <w:t>3</w:t>
            </w:r>
          </w:p>
        </w:tc>
        <w:tc>
          <w:tcPr>
            <w:tcW w:w="1042" w:type="dxa"/>
            <w:shd w:val="clear" w:color="auto" w:fill="auto"/>
          </w:tcPr>
          <w:p w:rsidR="00AB40C6" w:rsidRPr="002A6BA8" w:rsidRDefault="00694530" w:rsidP="00F3113F">
            <w:pPr>
              <w:pStyle w:val="TableBody"/>
              <w:jc w:val="left"/>
              <w:rPr>
                <w:lang w:val="it-IT"/>
              </w:rPr>
            </w:pPr>
            <w:r w:rsidRPr="002A6BA8">
              <w:rPr>
                <w:lang w:val="it-IT"/>
              </w:rPr>
              <w:t>21.87</w:t>
            </w:r>
          </w:p>
        </w:tc>
        <w:tc>
          <w:tcPr>
            <w:tcW w:w="1042" w:type="dxa"/>
            <w:shd w:val="clear" w:color="auto" w:fill="auto"/>
          </w:tcPr>
          <w:p w:rsidR="00AB40C6" w:rsidRPr="002A6BA8" w:rsidRDefault="00694530" w:rsidP="00F3113F">
            <w:pPr>
              <w:pStyle w:val="TableBody"/>
              <w:jc w:val="left"/>
              <w:rPr>
                <w:lang w:val="it-IT"/>
              </w:rPr>
            </w:pPr>
            <w:r w:rsidRPr="002A6BA8">
              <w:rPr>
                <w:lang w:val="it-IT"/>
              </w:rPr>
              <w:t>1.07</w:t>
            </w:r>
          </w:p>
        </w:tc>
        <w:tc>
          <w:tcPr>
            <w:tcW w:w="1042" w:type="dxa"/>
            <w:shd w:val="clear" w:color="auto" w:fill="auto"/>
          </w:tcPr>
          <w:p w:rsidR="00AB40C6" w:rsidRPr="002A6BA8" w:rsidRDefault="00694530" w:rsidP="00F3113F">
            <w:pPr>
              <w:pStyle w:val="TableBody"/>
              <w:jc w:val="left"/>
              <w:rPr>
                <w:lang w:val="it-IT"/>
              </w:rPr>
            </w:pPr>
            <w:r w:rsidRPr="002A6BA8">
              <w:rPr>
                <w:lang w:val="it-IT"/>
              </w:rPr>
              <w:t>0.78</w:t>
            </w:r>
          </w:p>
        </w:tc>
        <w:tc>
          <w:tcPr>
            <w:tcW w:w="1043" w:type="dxa"/>
            <w:shd w:val="clear" w:color="auto" w:fill="auto"/>
          </w:tcPr>
          <w:p w:rsidR="00AB40C6" w:rsidRPr="002A6BA8" w:rsidRDefault="00694530" w:rsidP="00F3113F">
            <w:pPr>
              <w:pStyle w:val="TableBody"/>
              <w:jc w:val="left"/>
              <w:rPr>
                <w:lang w:val="it-IT"/>
              </w:rPr>
            </w:pPr>
            <w:r w:rsidRPr="002A6BA8">
              <w:rPr>
                <w:lang w:val="it-IT"/>
              </w:rPr>
              <w:t>18.34</w:t>
            </w:r>
          </w:p>
        </w:tc>
      </w:tr>
      <w:tr w:rsidR="00F3113F" w:rsidRPr="002A6BA8" w:rsidTr="00F3113F">
        <w:tc>
          <w:tcPr>
            <w:tcW w:w="1388" w:type="dxa"/>
            <w:tcBorders>
              <w:bottom w:val="single" w:sz="4" w:space="0" w:color="000000"/>
            </w:tcBorders>
            <w:shd w:val="clear" w:color="auto" w:fill="auto"/>
          </w:tcPr>
          <w:p w:rsidR="00694530" w:rsidRPr="002A6BA8" w:rsidRDefault="00694530" w:rsidP="00A92DE8">
            <w:pPr>
              <w:pStyle w:val="TableBody"/>
              <w:jc w:val="left"/>
              <w:rPr>
                <w:lang w:val="it-IT"/>
              </w:rPr>
            </w:pPr>
            <w:r w:rsidRPr="002A6BA8">
              <w:rPr>
                <w:lang w:val="it-IT"/>
              </w:rPr>
              <w:t>FTO/c-TiO</w:t>
            </w:r>
            <w:r w:rsidRPr="002A6BA8">
              <w:rPr>
                <w:vertAlign w:val="subscript"/>
                <w:lang w:val="it-IT"/>
              </w:rPr>
              <w:t>2</w:t>
            </w:r>
            <w:r w:rsidRPr="002A6BA8">
              <w:rPr>
                <w:lang w:val="it-IT"/>
              </w:rPr>
              <w:t>/ TiO</w:t>
            </w:r>
            <w:r w:rsidRPr="002A6BA8">
              <w:rPr>
                <w:vertAlign w:val="subscript"/>
                <w:lang w:val="it-IT"/>
              </w:rPr>
              <w:t>2</w:t>
            </w:r>
            <w:r w:rsidRPr="002A6BA8">
              <w:rPr>
                <w:lang w:val="it-IT"/>
              </w:rPr>
              <w:t>/MAPbI</w:t>
            </w:r>
            <w:r w:rsidRPr="002A6BA8">
              <w:rPr>
                <w:vertAlign w:val="subscript"/>
                <w:lang w:val="it-IT"/>
              </w:rPr>
              <w:t>3</w:t>
            </w:r>
            <w:r w:rsidRPr="002A6BA8">
              <w:rPr>
                <w:lang w:val="it-IT"/>
              </w:rPr>
              <w:t>:C</w:t>
            </w:r>
            <w:r w:rsidRPr="002A6BA8">
              <w:rPr>
                <w:vertAlign w:val="subscript"/>
                <w:lang w:val="it-IT"/>
              </w:rPr>
              <w:t>70</w:t>
            </w:r>
          </w:p>
        </w:tc>
        <w:tc>
          <w:tcPr>
            <w:tcW w:w="1042" w:type="dxa"/>
            <w:tcBorders>
              <w:bottom w:val="single" w:sz="4" w:space="0" w:color="000000"/>
            </w:tcBorders>
            <w:shd w:val="clear" w:color="auto" w:fill="auto"/>
          </w:tcPr>
          <w:p w:rsidR="00694530" w:rsidRPr="002A6BA8" w:rsidRDefault="00694530" w:rsidP="00F3113F">
            <w:pPr>
              <w:pStyle w:val="TableBody"/>
              <w:jc w:val="left"/>
              <w:rPr>
                <w:lang w:val="it-IT"/>
              </w:rPr>
            </w:pPr>
            <w:r w:rsidRPr="002A6BA8">
              <w:rPr>
                <w:lang w:val="it-IT"/>
              </w:rPr>
              <w:t>22.33</w:t>
            </w:r>
          </w:p>
        </w:tc>
        <w:tc>
          <w:tcPr>
            <w:tcW w:w="1042" w:type="dxa"/>
            <w:tcBorders>
              <w:bottom w:val="single" w:sz="4" w:space="0" w:color="000000"/>
            </w:tcBorders>
            <w:shd w:val="clear" w:color="auto" w:fill="auto"/>
          </w:tcPr>
          <w:p w:rsidR="00694530" w:rsidRPr="002A6BA8" w:rsidRDefault="00694530" w:rsidP="00F3113F">
            <w:pPr>
              <w:pStyle w:val="TableBody"/>
              <w:jc w:val="left"/>
              <w:rPr>
                <w:lang w:val="it-IT"/>
              </w:rPr>
            </w:pPr>
            <w:r w:rsidRPr="002A6BA8">
              <w:rPr>
                <w:lang w:val="it-IT"/>
              </w:rPr>
              <w:t>1.079</w:t>
            </w:r>
          </w:p>
        </w:tc>
        <w:tc>
          <w:tcPr>
            <w:tcW w:w="1042" w:type="dxa"/>
            <w:tcBorders>
              <w:bottom w:val="single" w:sz="4" w:space="0" w:color="000000"/>
            </w:tcBorders>
            <w:shd w:val="clear" w:color="auto" w:fill="auto"/>
          </w:tcPr>
          <w:p w:rsidR="00694530" w:rsidRPr="002A6BA8" w:rsidRDefault="00694530" w:rsidP="00F3113F">
            <w:pPr>
              <w:pStyle w:val="TableBody"/>
              <w:jc w:val="left"/>
              <w:rPr>
                <w:lang w:val="it-IT"/>
              </w:rPr>
            </w:pPr>
            <w:r w:rsidRPr="002A6BA8">
              <w:rPr>
                <w:lang w:val="it-IT"/>
              </w:rPr>
              <w:t>0.79</w:t>
            </w:r>
          </w:p>
        </w:tc>
        <w:tc>
          <w:tcPr>
            <w:tcW w:w="1043" w:type="dxa"/>
            <w:tcBorders>
              <w:bottom w:val="single" w:sz="4" w:space="0" w:color="000000"/>
            </w:tcBorders>
            <w:shd w:val="clear" w:color="auto" w:fill="auto"/>
          </w:tcPr>
          <w:p w:rsidR="00694530" w:rsidRPr="002A6BA8" w:rsidRDefault="00694530" w:rsidP="00F3113F">
            <w:pPr>
              <w:pStyle w:val="TableBody"/>
              <w:jc w:val="left"/>
              <w:rPr>
                <w:lang w:val="it-IT"/>
              </w:rPr>
            </w:pPr>
            <w:r w:rsidRPr="002A6BA8">
              <w:rPr>
                <w:lang w:val="it-IT"/>
              </w:rPr>
              <w:t>19.19</w:t>
            </w:r>
          </w:p>
        </w:tc>
      </w:tr>
    </w:tbl>
    <w:p w:rsidR="00DB60D3" w:rsidRPr="002A6BA8" w:rsidRDefault="00DB60D3" w:rsidP="00F3113F">
      <w:pPr>
        <w:pStyle w:val="Legend"/>
        <w:rPr>
          <w:b/>
          <w:lang w:val="it-IT"/>
        </w:rPr>
      </w:pPr>
    </w:p>
    <w:p w:rsidR="0059526F" w:rsidRPr="002A6BA8" w:rsidRDefault="0059526F" w:rsidP="00F3113F">
      <w:pPr>
        <w:pStyle w:val="Legend"/>
        <w:rPr>
          <w:b/>
          <w:lang w:val="it-IT"/>
        </w:rPr>
      </w:pPr>
    </w:p>
    <w:p w:rsidR="00685CC0" w:rsidRPr="002A6BA8" w:rsidRDefault="0059526F" w:rsidP="00F3113F">
      <w:pPr>
        <w:spacing w:line="480" w:lineRule="auto"/>
        <w:rPr>
          <w:lang w:val="en-US"/>
        </w:rPr>
      </w:pPr>
      <w:r w:rsidRPr="002A6BA8">
        <w:rPr>
          <w:lang w:val="en-US"/>
        </w:rPr>
        <w:t xml:space="preserve">Copyright WILEY-VCH Verlag GmbH &amp; Co. KGaA, 69469 Weinheim, Germany, </w:t>
      </w:r>
      <w:r w:rsidR="00986933" w:rsidRPr="002A6BA8">
        <w:rPr>
          <w:lang w:val="en-US"/>
        </w:rPr>
        <w:t>2016</w:t>
      </w:r>
      <w:r w:rsidRPr="002A6BA8">
        <w:rPr>
          <w:lang w:val="en-US"/>
        </w:rPr>
        <w:t>.</w:t>
      </w:r>
    </w:p>
    <w:sectPr w:rsidR="00685CC0" w:rsidRPr="002A6BA8" w:rsidSect="00A92DE8">
      <w:headerReference w:type="default" r:id="rId13"/>
      <w:footerReference w:type="default" r:id="rId14"/>
      <w:pgSz w:w="11906" w:h="16838"/>
      <w:pgMar w:top="1417" w:right="1417" w:bottom="1134"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F0A60" w:rsidRDefault="00DF0A60">
      <w:r>
        <w:separator/>
      </w:r>
    </w:p>
  </w:endnote>
  <w:endnote w:type="continuationSeparator" w:id="0">
    <w:p w:rsidR="00DF0A60" w:rsidRDefault="00DF0A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Segoe UI">
    <w:altName w:val="Calibri"/>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0F21" w:rsidRDefault="00250F21">
    <w:pPr>
      <w:pStyle w:val="Footer"/>
      <w:jc w:val="center"/>
    </w:pPr>
  </w:p>
  <w:p w:rsidR="0031543C" w:rsidRDefault="0031543C" w:rsidP="00881456">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F0A60" w:rsidRDefault="00DF0A60">
      <w:r>
        <w:separator/>
      </w:r>
    </w:p>
  </w:footnote>
  <w:footnote w:type="continuationSeparator" w:id="0">
    <w:p w:rsidR="00DF0A60" w:rsidRDefault="00DF0A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1543C" w:rsidRPr="009B44CC" w:rsidRDefault="0031543C" w:rsidP="009B44CC">
    <w:pPr>
      <w:pStyle w:val="Header"/>
      <w:tabs>
        <w:tab w:val="left" w:pos="5003"/>
      </w:tabs>
      <w:jc w:val="right"/>
      <w:rPr>
        <w:lang w:val="en-US"/>
      </w:rPr>
    </w:pPr>
    <w:r>
      <w:tab/>
    </w:r>
    <w:r w:rsidR="000A33A9">
      <w:t xml:space="preserve">  </w:t>
    </w:r>
    <w:r w:rsidR="000A33A9">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01530C6"/>
    <w:multiLevelType w:val="hybridMultilevel"/>
    <w:tmpl w:val="42484B32"/>
    <w:lvl w:ilvl="0" w:tplc="51883FAE">
      <w:numFmt w:val="bullet"/>
      <w:lvlText w:val="-"/>
      <w:lvlJc w:val="left"/>
      <w:pPr>
        <w:ind w:left="720" w:hanging="360"/>
      </w:pPr>
      <w:rPr>
        <w:rFonts w:ascii="Times New Roman" w:eastAsia="MS Mincho"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16A0"/>
    <w:rsid w:val="000003BB"/>
    <w:rsid w:val="0000374D"/>
    <w:rsid w:val="000038EA"/>
    <w:rsid w:val="000049F1"/>
    <w:rsid w:val="00004A23"/>
    <w:rsid w:val="00006A0A"/>
    <w:rsid w:val="0000703E"/>
    <w:rsid w:val="00007707"/>
    <w:rsid w:val="000112FC"/>
    <w:rsid w:val="000118B0"/>
    <w:rsid w:val="00011F40"/>
    <w:rsid w:val="0001454A"/>
    <w:rsid w:val="000161B7"/>
    <w:rsid w:val="0001683C"/>
    <w:rsid w:val="000172E7"/>
    <w:rsid w:val="000173CA"/>
    <w:rsid w:val="000214A8"/>
    <w:rsid w:val="00023F5F"/>
    <w:rsid w:val="00023F64"/>
    <w:rsid w:val="000273A2"/>
    <w:rsid w:val="00027FB5"/>
    <w:rsid w:val="000314D2"/>
    <w:rsid w:val="0003318F"/>
    <w:rsid w:val="000340A7"/>
    <w:rsid w:val="0004094E"/>
    <w:rsid w:val="00040B7B"/>
    <w:rsid w:val="0004184A"/>
    <w:rsid w:val="000437F7"/>
    <w:rsid w:val="000476D5"/>
    <w:rsid w:val="00050985"/>
    <w:rsid w:val="0005501E"/>
    <w:rsid w:val="00055883"/>
    <w:rsid w:val="0006044D"/>
    <w:rsid w:val="00061F1E"/>
    <w:rsid w:val="00062324"/>
    <w:rsid w:val="0006355D"/>
    <w:rsid w:val="00063C0E"/>
    <w:rsid w:val="000663F4"/>
    <w:rsid w:val="000705B1"/>
    <w:rsid w:val="000705E3"/>
    <w:rsid w:val="00072EA7"/>
    <w:rsid w:val="00076EAD"/>
    <w:rsid w:val="0008287E"/>
    <w:rsid w:val="00083031"/>
    <w:rsid w:val="00085633"/>
    <w:rsid w:val="00085C68"/>
    <w:rsid w:val="0008740B"/>
    <w:rsid w:val="000904D3"/>
    <w:rsid w:val="000905CB"/>
    <w:rsid w:val="00092497"/>
    <w:rsid w:val="00093062"/>
    <w:rsid w:val="0009309C"/>
    <w:rsid w:val="00093643"/>
    <w:rsid w:val="00093F1B"/>
    <w:rsid w:val="000A1A20"/>
    <w:rsid w:val="000A1ACF"/>
    <w:rsid w:val="000A1F4B"/>
    <w:rsid w:val="000A21A9"/>
    <w:rsid w:val="000A2999"/>
    <w:rsid w:val="000A2BB2"/>
    <w:rsid w:val="000A33A9"/>
    <w:rsid w:val="000A3E93"/>
    <w:rsid w:val="000A472C"/>
    <w:rsid w:val="000A5773"/>
    <w:rsid w:val="000B0007"/>
    <w:rsid w:val="000B05A0"/>
    <w:rsid w:val="000B0782"/>
    <w:rsid w:val="000B30D1"/>
    <w:rsid w:val="000B33EE"/>
    <w:rsid w:val="000B4293"/>
    <w:rsid w:val="000C259E"/>
    <w:rsid w:val="000C3E0C"/>
    <w:rsid w:val="000C6252"/>
    <w:rsid w:val="000C6F8A"/>
    <w:rsid w:val="000D0BE1"/>
    <w:rsid w:val="000D2D4B"/>
    <w:rsid w:val="000D45F4"/>
    <w:rsid w:val="000D5AB4"/>
    <w:rsid w:val="000D66DB"/>
    <w:rsid w:val="000D7EBA"/>
    <w:rsid w:val="000E170A"/>
    <w:rsid w:val="000E36BF"/>
    <w:rsid w:val="000E5834"/>
    <w:rsid w:val="000E652C"/>
    <w:rsid w:val="000E7A5B"/>
    <w:rsid w:val="000E7BBA"/>
    <w:rsid w:val="000F1CE8"/>
    <w:rsid w:val="000F512F"/>
    <w:rsid w:val="001054D4"/>
    <w:rsid w:val="00105AFA"/>
    <w:rsid w:val="0010686C"/>
    <w:rsid w:val="00107C5F"/>
    <w:rsid w:val="00107CCC"/>
    <w:rsid w:val="00110011"/>
    <w:rsid w:val="00110509"/>
    <w:rsid w:val="001105BD"/>
    <w:rsid w:val="00111276"/>
    <w:rsid w:val="00116C82"/>
    <w:rsid w:val="00120E85"/>
    <w:rsid w:val="00123ADA"/>
    <w:rsid w:val="00125573"/>
    <w:rsid w:val="00126262"/>
    <w:rsid w:val="0012642A"/>
    <w:rsid w:val="00126D17"/>
    <w:rsid w:val="001305BF"/>
    <w:rsid w:val="001360CD"/>
    <w:rsid w:val="001370B1"/>
    <w:rsid w:val="001377CA"/>
    <w:rsid w:val="00140B94"/>
    <w:rsid w:val="001450FB"/>
    <w:rsid w:val="0014658A"/>
    <w:rsid w:val="00146F7F"/>
    <w:rsid w:val="00147DB8"/>
    <w:rsid w:val="00151683"/>
    <w:rsid w:val="0015392F"/>
    <w:rsid w:val="00153BEE"/>
    <w:rsid w:val="0015563E"/>
    <w:rsid w:val="00155F66"/>
    <w:rsid w:val="001576B8"/>
    <w:rsid w:val="0016390D"/>
    <w:rsid w:val="00164057"/>
    <w:rsid w:val="00165B37"/>
    <w:rsid w:val="00170369"/>
    <w:rsid w:val="00173757"/>
    <w:rsid w:val="00174176"/>
    <w:rsid w:val="00175511"/>
    <w:rsid w:val="00177EC6"/>
    <w:rsid w:val="00181A8E"/>
    <w:rsid w:val="00181D92"/>
    <w:rsid w:val="001823B6"/>
    <w:rsid w:val="001848EB"/>
    <w:rsid w:val="00187DB9"/>
    <w:rsid w:val="0019077D"/>
    <w:rsid w:val="0019194D"/>
    <w:rsid w:val="001A4240"/>
    <w:rsid w:val="001A6821"/>
    <w:rsid w:val="001A734D"/>
    <w:rsid w:val="001A78D6"/>
    <w:rsid w:val="001B4224"/>
    <w:rsid w:val="001B71B0"/>
    <w:rsid w:val="001B7472"/>
    <w:rsid w:val="001C10AC"/>
    <w:rsid w:val="001C3E4F"/>
    <w:rsid w:val="001C55FB"/>
    <w:rsid w:val="001D12BC"/>
    <w:rsid w:val="001D561D"/>
    <w:rsid w:val="001E18CC"/>
    <w:rsid w:val="001E3D2D"/>
    <w:rsid w:val="001E4605"/>
    <w:rsid w:val="001E5F4E"/>
    <w:rsid w:val="001F2378"/>
    <w:rsid w:val="001F2689"/>
    <w:rsid w:val="001F2AB7"/>
    <w:rsid w:val="001F3C9B"/>
    <w:rsid w:val="001F3E77"/>
    <w:rsid w:val="001F4A48"/>
    <w:rsid w:val="001F5110"/>
    <w:rsid w:val="001F5702"/>
    <w:rsid w:val="002002FC"/>
    <w:rsid w:val="00201036"/>
    <w:rsid w:val="00201F71"/>
    <w:rsid w:val="00203934"/>
    <w:rsid w:val="002042EE"/>
    <w:rsid w:val="0020446B"/>
    <w:rsid w:val="00204BA7"/>
    <w:rsid w:val="002059DF"/>
    <w:rsid w:val="002072AB"/>
    <w:rsid w:val="00210140"/>
    <w:rsid w:val="002110F3"/>
    <w:rsid w:val="00211942"/>
    <w:rsid w:val="00214D95"/>
    <w:rsid w:val="00215531"/>
    <w:rsid w:val="00220933"/>
    <w:rsid w:val="00220C72"/>
    <w:rsid w:val="0022540C"/>
    <w:rsid w:val="00226AA4"/>
    <w:rsid w:val="00232D5C"/>
    <w:rsid w:val="00233C8A"/>
    <w:rsid w:val="00236036"/>
    <w:rsid w:val="00240D90"/>
    <w:rsid w:val="00250F21"/>
    <w:rsid w:val="00253CB1"/>
    <w:rsid w:val="002543F9"/>
    <w:rsid w:val="00257ADD"/>
    <w:rsid w:val="00263CF8"/>
    <w:rsid w:val="00265635"/>
    <w:rsid w:val="00266389"/>
    <w:rsid w:val="002675F7"/>
    <w:rsid w:val="002725A5"/>
    <w:rsid w:val="0027314F"/>
    <w:rsid w:val="0027473A"/>
    <w:rsid w:val="00275313"/>
    <w:rsid w:val="002814D3"/>
    <w:rsid w:val="0028289F"/>
    <w:rsid w:val="00284157"/>
    <w:rsid w:val="00285631"/>
    <w:rsid w:val="00286E54"/>
    <w:rsid w:val="00290D94"/>
    <w:rsid w:val="00291F5C"/>
    <w:rsid w:val="0029203C"/>
    <w:rsid w:val="00294873"/>
    <w:rsid w:val="00294BE2"/>
    <w:rsid w:val="00295925"/>
    <w:rsid w:val="002A03D6"/>
    <w:rsid w:val="002A2CB1"/>
    <w:rsid w:val="002A4A81"/>
    <w:rsid w:val="002A6BA8"/>
    <w:rsid w:val="002A733C"/>
    <w:rsid w:val="002A7CE8"/>
    <w:rsid w:val="002A7ED4"/>
    <w:rsid w:val="002B0671"/>
    <w:rsid w:val="002B2397"/>
    <w:rsid w:val="002B262F"/>
    <w:rsid w:val="002B3553"/>
    <w:rsid w:val="002B5E06"/>
    <w:rsid w:val="002C069C"/>
    <w:rsid w:val="002C0CFF"/>
    <w:rsid w:val="002C5D2D"/>
    <w:rsid w:val="002D16A0"/>
    <w:rsid w:val="002D2930"/>
    <w:rsid w:val="002D2DFF"/>
    <w:rsid w:val="002D6207"/>
    <w:rsid w:val="002D71CE"/>
    <w:rsid w:val="002E2416"/>
    <w:rsid w:val="002E4E3E"/>
    <w:rsid w:val="002E76B2"/>
    <w:rsid w:val="002E79A2"/>
    <w:rsid w:val="002F2D12"/>
    <w:rsid w:val="002F3400"/>
    <w:rsid w:val="002F55FD"/>
    <w:rsid w:val="002F594C"/>
    <w:rsid w:val="00301984"/>
    <w:rsid w:val="00301B0B"/>
    <w:rsid w:val="00301E84"/>
    <w:rsid w:val="00303C6E"/>
    <w:rsid w:val="00303D1B"/>
    <w:rsid w:val="003046B7"/>
    <w:rsid w:val="00307B6D"/>
    <w:rsid w:val="003126E2"/>
    <w:rsid w:val="0031543C"/>
    <w:rsid w:val="00316005"/>
    <w:rsid w:val="003176DB"/>
    <w:rsid w:val="00317A57"/>
    <w:rsid w:val="00320A99"/>
    <w:rsid w:val="0032144B"/>
    <w:rsid w:val="00322D5B"/>
    <w:rsid w:val="00325AC2"/>
    <w:rsid w:val="00326A1C"/>
    <w:rsid w:val="00331BAE"/>
    <w:rsid w:val="00332865"/>
    <w:rsid w:val="00334425"/>
    <w:rsid w:val="003360E3"/>
    <w:rsid w:val="003371D5"/>
    <w:rsid w:val="003376CD"/>
    <w:rsid w:val="0034201E"/>
    <w:rsid w:val="003452C3"/>
    <w:rsid w:val="00347E4B"/>
    <w:rsid w:val="003501A7"/>
    <w:rsid w:val="0035048A"/>
    <w:rsid w:val="0035474E"/>
    <w:rsid w:val="00361B45"/>
    <w:rsid w:val="0036263B"/>
    <w:rsid w:val="00363B62"/>
    <w:rsid w:val="003645B0"/>
    <w:rsid w:val="00364B2C"/>
    <w:rsid w:val="003664F1"/>
    <w:rsid w:val="00367E3F"/>
    <w:rsid w:val="00377EA5"/>
    <w:rsid w:val="00377F77"/>
    <w:rsid w:val="00383073"/>
    <w:rsid w:val="0038438F"/>
    <w:rsid w:val="0038516D"/>
    <w:rsid w:val="00387C67"/>
    <w:rsid w:val="00387D98"/>
    <w:rsid w:val="00390B0F"/>
    <w:rsid w:val="00390B38"/>
    <w:rsid w:val="00390B6B"/>
    <w:rsid w:val="00391894"/>
    <w:rsid w:val="00391CFE"/>
    <w:rsid w:val="0039353B"/>
    <w:rsid w:val="00394424"/>
    <w:rsid w:val="00394F9E"/>
    <w:rsid w:val="00395426"/>
    <w:rsid w:val="00395B91"/>
    <w:rsid w:val="00396615"/>
    <w:rsid w:val="0039700D"/>
    <w:rsid w:val="00397089"/>
    <w:rsid w:val="003978A8"/>
    <w:rsid w:val="003A0F30"/>
    <w:rsid w:val="003A4C44"/>
    <w:rsid w:val="003A5AD0"/>
    <w:rsid w:val="003A66D3"/>
    <w:rsid w:val="003A6CE3"/>
    <w:rsid w:val="003A7899"/>
    <w:rsid w:val="003B15EE"/>
    <w:rsid w:val="003B517D"/>
    <w:rsid w:val="003B60EC"/>
    <w:rsid w:val="003B6C72"/>
    <w:rsid w:val="003C00ED"/>
    <w:rsid w:val="003C04E5"/>
    <w:rsid w:val="003C1C0A"/>
    <w:rsid w:val="003C2140"/>
    <w:rsid w:val="003C256B"/>
    <w:rsid w:val="003C35DF"/>
    <w:rsid w:val="003C39FD"/>
    <w:rsid w:val="003C4A68"/>
    <w:rsid w:val="003C554F"/>
    <w:rsid w:val="003C60EA"/>
    <w:rsid w:val="003C61DD"/>
    <w:rsid w:val="003D62D7"/>
    <w:rsid w:val="003D63E7"/>
    <w:rsid w:val="003E05F1"/>
    <w:rsid w:val="003E113B"/>
    <w:rsid w:val="003E413E"/>
    <w:rsid w:val="003E5092"/>
    <w:rsid w:val="003E566A"/>
    <w:rsid w:val="003E70B7"/>
    <w:rsid w:val="003E715D"/>
    <w:rsid w:val="003F103E"/>
    <w:rsid w:val="003F2E48"/>
    <w:rsid w:val="003F440C"/>
    <w:rsid w:val="003F4C09"/>
    <w:rsid w:val="003F525A"/>
    <w:rsid w:val="003F7BE6"/>
    <w:rsid w:val="004006A9"/>
    <w:rsid w:val="004052AE"/>
    <w:rsid w:val="004118A5"/>
    <w:rsid w:val="00413672"/>
    <w:rsid w:val="00414041"/>
    <w:rsid w:val="00414465"/>
    <w:rsid w:val="0041454E"/>
    <w:rsid w:val="00414729"/>
    <w:rsid w:val="00414C80"/>
    <w:rsid w:val="00414F4B"/>
    <w:rsid w:val="00415EF9"/>
    <w:rsid w:val="00416629"/>
    <w:rsid w:val="00417DA1"/>
    <w:rsid w:val="00422BC6"/>
    <w:rsid w:val="00423478"/>
    <w:rsid w:val="00424FA4"/>
    <w:rsid w:val="0042562B"/>
    <w:rsid w:val="00425B76"/>
    <w:rsid w:val="004260A2"/>
    <w:rsid w:val="00426FC6"/>
    <w:rsid w:val="004273BC"/>
    <w:rsid w:val="00427C5F"/>
    <w:rsid w:val="00447FBD"/>
    <w:rsid w:val="004507E5"/>
    <w:rsid w:val="004519AD"/>
    <w:rsid w:val="0045459A"/>
    <w:rsid w:val="00454955"/>
    <w:rsid w:val="004561F3"/>
    <w:rsid w:val="00460F76"/>
    <w:rsid w:val="00463050"/>
    <w:rsid w:val="0046340F"/>
    <w:rsid w:val="00464660"/>
    <w:rsid w:val="00466168"/>
    <w:rsid w:val="004700FB"/>
    <w:rsid w:val="004714D4"/>
    <w:rsid w:val="00475712"/>
    <w:rsid w:val="004757B3"/>
    <w:rsid w:val="004809F4"/>
    <w:rsid w:val="00480CCE"/>
    <w:rsid w:val="00482FAA"/>
    <w:rsid w:val="00483485"/>
    <w:rsid w:val="00487CC8"/>
    <w:rsid w:val="004901B0"/>
    <w:rsid w:val="0049075F"/>
    <w:rsid w:val="00492DA8"/>
    <w:rsid w:val="00496C21"/>
    <w:rsid w:val="004A0888"/>
    <w:rsid w:val="004A340A"/>
    <w:rsid w:val="004A43B6"/>
    <w:rsid w:val="004A5594"/>
    <w:rsid w:val="004A5F2C"/>
    <w:rsid w:val="004A70EE"/>
    <w:rsid w:val="004A774E"/>
    <w:rsid w:val="004A7D3E"/>
    <w:rsid w:val="004A7FF9"/>
    <w:rsid w:val="004B379D"/>
    <w:rsid w:val="004B5F0C"/>
    <w:rsid w:val="004B6031"/>
    <w:rsid w:val="004C046E"/>
    <w:rsid w:val="004C1609"/>
    <w:rsid w:val="004C216B"/>
    <w:rsid w:val="004C3FFF"/>
    <w:rsid w:val="004C519C"/>
    <w:rsid w:val="004C5DD3"/>
    <w:rsid w:val="004D2BDA"/>
    <w:rsid w:val="004D30F9"/>
    <w:rsid w:val="004D4A32"/>
    <w:rsid w:val="004D64AB"/>
    <w:rsid w:val="004E1BC9"/>
    <w:rsid w:val="004E2997"/>
    <w:rsid w:val="004E368F"/>
    <w:rsid w:val="004E541E"/>
    <w:rsid w:val="004E7CE8"/>
    <w:rsid w:val="004F271D"/>
    <w:rsid w:val="004F5114"/>
    <w:rsid w:val="004F756C"/>
    <w:rsid w:val="005019AF"/>
    <w:rsid w:val="005026C0"/>
    <w:rsid w:val="0050488D"/>
    <w:rsid w:val="0050527A"/>
    <w:rsid w:val="0050535A"/>
    <w:rsid w:val="00506D48"/>
    <w:rsid w:val="00511192"/>
    <w:rsid w:val="005114FA"/>
    <w:rsid w:val="005118AD"/>
    <w:rsid w:val="005220C2"/>
    <w:rsid w:val="005223A1"/>
    <w:rsid w:val="00523182"/>
    <w:rsid w:val="00523369"/>
    <w:rsid w:val="0052398F"/>
    <w:rsid w:val="00530C85"/>
    <w:rsid w:val="00532960"/>
    <w:rsid w:val="00536933"/>
    <w:rsid w:val="00540974"/>
    <w:rsid w:val="00545A73"/>
    <w:rsid w:val="00546DEB"/>
    <w:rsid w:val="00546F0F"/>
    <w:rsid w:val="005477E7"/>
    <w:rsid w:val="00550159"/>
    <w:rsid w:val="00551FFD"/>
    <w:rsid w:val="00552415"/>
    <w:rsid w:val="005534C4"/>
    <w:rsid w:val="005551ED"/>
    <w:rsid w:val="00556419"/>
    <w:rsid w:val="005572B4"/>
    <w:rsid w:val="005572DD"/>
    <w:rsid w:val="00557FDA"/>
    <w:rsid w:val="00560564"/>
    <w:rsid w:val="00562E2B"/>
    <w:rsid w:val="00564668"/>
    <w:rsid w:val="00570268"/>
    <w:rsid w:val="00570353"/>
    <w:rsid w:val="005715F5"/>
    <w:rsid w:val="0057171E"/>
    <w:rsid w:val="00572666"/>
    <w:rsid w:val="0057267E"/>
    <w:rsid w:val="005726BD"/>
    <w:rsid w:val="00574A5A"/>
    <w:rsid w:val="0057651C"/>
    <w:rsid w:val="00577DB2"/>
    <w:rsid w:val="00583ED5"/>
    <w:rsid w:val="00585D33"/>
    <w:rsid w:val="00587437"/>
    <w:rsid w:val="00592678"/>
    <w:rsid w:val="00594644"/>
    <w:rsid w:val="0059526F"/>
    <w:rsid w:val="00596F36"/>
    <w:rsid w:val="005A1741"/>
    <w:rsid w:val="005A235F"/>
    <w:rsid w:val="005A751F"/>
    <w:rsid w:val="005A7719"/>
    <w:rsid w:val="005A77C2"/>
    <w:rsid w:val="005B291B"/>
    <w:rsid w:val="005B35DF"/>
    <w:rsid w:val="005B6CA7"/>
    <w:rsid w:val="005B76C5"/>
    <w:rsid w:val="005B7AF0"/>
    <w:rsid w:val="005B7B8A"/>
    <w:rsid w:val="005C09C6"/>
    <w:rsid w:val="005C458D"/>
    <w:rsid w:val="005C491E"/>
    <w:rsid w:val="005C5E0A"/>
    <w:rsid w:val="005C6C0C"/>
    <w:rsid w:val="005D2276"/>
    <w:rsid w:val="005D25FD"/>
    <w:rsid w:val="005D2808"/>
    <w:rsid w:val="005E0858"/>
    <w:rsid w:val="005E2794"/>
    <w:rsid w:val="005E2C93"/>
    <w:rsid w:val="005E3CBF"/>
    <w:rsid w:val="005E63BD"/>
    <w:rsid w:val="005E6F9D"/>
    <w:rsid w:val="005E7B5A"/>
    <w:rsid w:val="005F01FC"/>
    <w:rsid w:val="005F0C89"/>
    <w:rsid w:val="005F1CDC"/>
    <w:rsid w:val="005F3701"/>
    <w:rsid w:val="005F41DF"/>
    <w:rsid w:val="005F4521"/>
    <w:rsid w:val="005F5478"/>
    <w:rsid w:val="006006FC"/>
    <w:rsid w:val="006045BA"/>
    <w:rsid w:val="0060583A"/>
    <w:rsid w:val="00611649"/>
    <w:rsid w:val="00611A0E"/>
    <w:rsid w:val="00612F8B"/>
    <w:rsid w:val="00614154"/>
    <w:rsid w:val="00614BD3"/>
    <w:rsid w:val="006224F6"/>
    <w:rsid w:val="0062262C"/>
    <w:rsid w:val="00623A77"/>
    <w:rsid w:val="006256F5"/>
    <w:rsid w:val="0063097B"/>
    <w:rsid w:val="006364B8"/>
    <w:rsid w:val="00636A64"/>
    <w:rsid w:val="00636B93"/>
    <w:rsid w:val="006376A5"/>
    <w:rsid w:val="00640550"/>
    <w:rsid w:val="00641146"/>
    <w:rsid w:val="0064326A"/>
    <w:rsid w:val="006441D3"/>
    <w:rsid w:val="00644D5D"/>
    <w:rsid w:val="00646DC7"/>
    <w:rsid w:val="006511FB"/>
    <w:rsid w:val="00651A9D"/>
    <w:rsid w:val="006553BE"/>
    <w:rsid w:val="00656092"/>
    <w:rsid w:val="0065741C"/>
    <w:rsid w:val="00660B85"/>
    <w:rsid w:val="00664F6D"/>
    <w:rsid w:val="006650B8"/>
    <w:rsid w:val="00666329"/>
    <w:rsid w:val="00666FA0"/>
    <w:rsid w:val="006672EE"/>
    <w:rsid w:val="0067011F"/>
    <w:rsid w:val="0067015E"/>
    <w:rsid w:val="00670AAD"/>
    <w:rsid w:val="00680453"/>
    <w:rsid w:val="00682526"/>
    <w:rsid w:val="00683555"/>
    <w:rsid w:val="00685CC0"/>
    <w:rsid w:val="00686F1D"/>
    <w:rsid w:val="00687E3B"/>
    <w:rsid w:val="00692F7A"/>
    <w:rsid w:val="00694530"/>
    <w:rsid w:val="00695E06"/>
    <w:rsid w:val="00695E73"/>
    <w:rsid w:val="00696315"/>
    <w:rsid w:val="006A0D51"/>
    <w:rsid w:val="006A1C05"/>
    <w:rsid w:val="006A225B"/>
    <w:rsid w:val="006A30D2"/>
    <w:rsid w:val="006A5A6A"/>
    <w:rsid w:val="006A5FE3"/>
    <w:rsid w:val="006B0060"/>
    <w:rsid w:val="006B23B2"/>
    <w:rsid w:val="006B4845"/>
    <w:rsid w:val="006B57DB"/>
    <w:rsid w:val="006B635C"/>
    <w:rsid w:val="006B6654"/>
    <w:rsid w:val="006C1708"/>
    <w:rsid w:val="006C1C29"/>
    <w:rsid w:val="006C3563"/>
    <w:rsid w:val="006C3B75"/>
    <w:rsid w:val="006C3CDE"/>
    <w:rsid w:val="006C45F5"/>
    <w:rsid w:val="006C4745"/>
    <w:rsid w:val="006C636D"/>
    <w:rsid w:val="006D0EE8"/>
    <w:rsid w:val="006D3162"/>
    <w:rsid w:val="006D37E7"/>
    <w:rsid w:val="006D46BD"/>
    <w:rsid w:val="006D5146"/>
    <w:rsid w:val="006D59D6"/>
    <w:rsid w:val="006D5C04"/>
    <w:rsid w:val="006D7508"/>
    <w:rsid w:val="006E0F2F"/>
    <w:rsid w:val="006E19D7"/>
    <w:rsid w:val="006E71B9"/>
    <w:rsid w:val="006F348F"/>
    <w:rsid w:val="006F359D"/>
    <w:rsid w:val="006F39B2"/>
    <w:rsid w:val="006F5384"/>
    <w:rsid w:val="006F6604"/>
    <w:rsid w:val="006F69DC"/>
    <w:rsid w:val="006F71D8"/>
    <w:rsid w:val="006F7D1A"/>
    <w:rsid w:val="007000BE"/>
    <w:rsid w:val="0070346C"/>
    <w:rsid w:val="007051A0"/>
    <w:rsid w:val="00706496"/>
    <w:rsid w:val="00706CB1"/>
    <w:rsid w:val="00711A12"/>
    <w:rsid w:val="00711F11"/>
    <w:rsid w:val="0071508C"/>
    <w:rsid w:val="00715DB9"/>
    <w:rsid w:val="007210B1"/>
    <w:rsid w:val="007218A0"/>
    <w:rsid w:val="007238AF"/>
    <w:rsid w:val="00726908"/>
    <w:rsid w:val="007270C7"/>
    <w:rsid w:val="00727413"/>
    <w:rsid w:val="00730F3A"/>
    <w:rsid w:val="00732660"/>
    <w:rsid w:val="0073323D"/>
    <w:rsid w:val="00733CDC"/>
    <w:rsid w:val="007357D8"/>
    <w:rsid w:val="00735F34"/>
    <w:rsid w:val="00741200"/>
    <w:rsid w:val="00741333"/>
    <w:rsid w:val="00742FF2"/>
    <w:rsid w:val="00744D6A"/>
    <w:rsid w:val="00746138"/>
    <w:rsid w:val="0074620A"/>
    <w:rsid w:val="00746492"/>
    <w:rsid w:val="00747BC8"/>
    <w:rsid w:val="00751D50"/>
    <w:rsid w:val="007527D5"/>
    <w:rsid w:val="00752F3C"/>
    <w:rsid w:val="007561FC"/>
    <w:rsid w:val="00761D34"/>
    <w:rsid w:val="00762D2D"/>
    <w:rsid w:val="00764622"/>
    <w:rsid w:val="00764CAD"/>
    <w:rsid w:val="00766A17"/>
    <w:rsid w:val="00770FA1"/>
    <w:rsid w:val="007727FA"/>
    <w:rsid w:val="00772A00"/>
    <w:rsid w:val="00772D5A"/>
    <w:rsid w:val="00773884"/>
    <w:rsid w:val="00774813"/>
    <w:rsid w:val="007775B4"/>
    <w:rsid w:val="0078052A"/>
    <w:rsid w:val="007812FB"/>
    <w:rsid w:val="00782B1B"/>
    <w:rsid w:val="00784032"/>
    <w:rsid w:val="00786E79"/>
    <w:rsid w:val="00787925"/>
    <w:rsid w:val="00787A91"/>
    <w:rsid w:val="007905F8"/>
    <w:rsid w:val="00790E31"/>
    <w:rsid w:val="007937FE"/>
    <w:rsid w:val="00793B87"/>
    <w:rsid w:val="0079566E"/>
    <w:rsid w:val="00796509"/>
    <w:rsid w:val="0079691E"/>
    <w:rsid w:val="00797723"/>
    <w:rsid w:val="007A650B"/>
    <w:rsid w:val="007B18D9"/>
    <w:rsid w:val="007B1E5C"/>
    <w:rsid w:val="007B1EEE"/>
    <w:rsid w:val="007B249B"/>
    <w:rsid w:val="007B6D4D"/>
    <w:rsid w:val="007C0F7A"/>
    <w:rsid w:val="007C4DA2"/>
    <w:rsid w:val="007D24A9"/>
    <w:rsid w:val="007D27FA"/>
    <w:rsid w:val="007D30B5"/>
    <w:rsid w:val="007D39CA"/>
    <w:rsid w:val="007D6218"/>
    <w:rsid w:val="007D6699"/>
    <w:rsid w:val="007D7E30"/>
    <w:rsid w:val="007E04E8"/>
    <w:rsid w:val="007E0EAA"/>
    <w:rsid w:val="007E6419"/>
    <w:rsid w:val="007F5DA6"/>
    <w:rsid w:val="007F6815"/>
    <w:rsid w:val="0080681B"/>
    <w:rsid w:val="0080738C"/>
    <w:rsid w:val="00810B77"/>
    <w:rsid w:val="00815AEE"/>
    <w:rsid w:val="008160F3"/>
    <w:rsid w:val="00817436"/>
    <w:rsid w:val="00824545"/>
    <w:rsid w:val="0082542D"/>
    <w:rsid w:val="008263C4"/>
    <w:rsid w:val="00827834"/>
    <w:rsid w:val="00832835"/>
    <w:rsid w:val="00832EEE"/>
    <w:rsid w:val="00835110"/>
    <w:rsid w:val="008351FC"/>
    <w:rsid w:val="0084000E"/>
    <w:rsid w:val="00841823"/>
    <w:rsid w:val="00841F50"/>
    <w:rsid w:val="008437CA"/>
    <w:rsid w:val="00843A0E"/>
    <w:rsid w:val="00844370"/>
    <w:rsid w:val="00845DFE"/>
    <w:rsid w:val="00846E05"/>
    <w:rsid w:val="00846E17"/>
    <w:rsid w:val="0085157F"/>
    <w:rsid w:val="00854283"/>
    <w:rsid w:val="0085599B"/>
    <w:rsid w:val="008573E3"/>
    <w:rsid w:val="00861E81"/>
    <w:rsid w:val="008645FF"/>
    <w:rsid w:val="00866C50"/>
    <w:rsid w:val="00866D42"/>
    <w:rsid w:val="0087030E"/>
    <w:rsid w:val="00870AAC"/>
    <w:rsid w:val="008734F7"/>
    <w:rsid w:val="00874A7B"/>
    <w:rsid w:val="00874E9F"/>
    <w:rsid w:val="00877842"/>
    <w:rsid w:val="008808E2"/>
    <w:rsid w:val="00881021"/>
    <w:rsid w:val="00881456"/>
    <w:rsid w:val="00881ACB"/>
    <w:rsid w:val="00885FC9"/>
    <w:rsid w:val="00890A0E"/>
    <w:rsid w:val="00891328"/>
    <w:rsid w:val="00891A47"/>
    <w:rsid w:val="00892809"/>
    <w:rsid w:val="0089370F"/>
    <w:rsid w:val="008939AF"/>
    <w:rsid w:val="00893FED"/>
    <w:rsid w:val="0089449A"/>
    <w:rsid w:val="00894F15"/>
    <w:rsid w:val="00895E48"/>
    <w:rsid w:val="00896687"/>
    <w:rsid w:val="008971F4"/>
    <w:rsid w:val="008A0E7D"/>
    <w:rsid w:val="008A3023"/>
    <w:rsid w:val="008A403F"/>
    <w:rsid w:val="008A67F0"/>
    <w:rsid w:val="008A6815"/>
    <w:rsid w:val="008B06C1"/>
    <w:rsid w:val="008B1031"/>
    <w:rsid w:val="008B198C"/>
    <w:rsid w:val="008B2043"/>
    <w:rsid w:val="008B2303"/>
    <w:rsid w:val="008B34A0"/>
    <w:rsid w:val="008B459F"/>
    <w:rsid w:val="008B5740"/>
    <w:rsid w:val="008C0B84"/>
    <w:rsid w:val="008C41DA"/>
    <w:rsid w:val="008C4441"/>
    <w:rsid w:val="008C506D"/>
    <w:rsid w:val="008C553A"/>
    <w:rsid w:val="008C588E"/>
    <w:rsid w:val="008C7226"/>
    <w:rsid w:val="008D1188"/>
    <w:rsid w:val="008D28E8"/>
    <w:rsid w:val="008D68C8"/>
    <w:rsid w:val="008D7B80"/>
    <w:rsid w:val="008E16F0"/>
    <w:rsid w:val="008E3F36"/>
    <w:rsid w:val="008E4184"/>
    <w:rsid w:val="008E4E02"/>
    <w:rsid w:val="008E549F"/>
    <w:rsid w:val="008E593B"/>
    <w:rsid w:val="008E5A57"/>
    <w:rsid w:val="008E6301"/>
    <w:rsid w:val="008E6422"/>
    <w:rsid w:val="008E7382"/>
    <w:rsid w:val="008F10BC"/>
    <w:rsid w:val="008F1F60"/>
    <w:rsid w:val="008F2052"/>
    <w:rsid w:val="008F26ED"/>
    <w:rsid w:val="008F2A38"/>
    <w:rsid w:val="008F2F36"/>
    <w:rsid w:val="008F3012"/>
    <w:rsid w:val="008F592B"/>
    <w:rsid w:val="008F75C9"/>
    <w:rsid w:val="00901D89"/>
    <w:rsid w:val="00903775"/>
    <w:rsid w:val="009109F7"/>
    <w:rsid w:val="00912137"/>
    <w:rsid w:val="00912D6D"/>
    <w:rsid w:val="009146CF"/>
    <w:rsid w:val="009151B5"/>
    <w:rsid w:val="00915BED"/>
    <w:rsid w:val="00916627"/>
    <w:rsid w:val="00916B64"/>
    <w:rsid w:val="009209C8"/>
    <w:rsid w:val="0092145D"/>
    <w:rsid w:val="009239B8"/>
    <w:rsid w:val="009245DE"/>
    <w:rsid w:val="00930762"/>
    <w:rsid w:val="00930C0C"/>
    <w:rsid w:val="00933579"/>
    <w:rsid w:val="00936B81"/>
    <w:rsid w:val="00940DCC"/>
    <w:rsid w:val="00944701"/>
    <w:rsid w:val="00950ED1"/>
    <w:rsid w:val="00952209"/>
    <w:rsid w:val="0095444E"/>
    <w:rsid w:val="00955A33"/>
    <w:rsid w:val="00955C67"/>
    <w:rsid w:val="00957B65"/>
    <w:rsid w:val="00960AFF"/>
    <w:rsid w:val="00962F17"/>
    <w:rsid w:val="00963B0D"/>
    <w:rsid w:val="00963F62"/>
    <w:rsid w:val="009648A5"/>
    <w:rsid w:val="00965EFC"/>
    <w:rsid w:val="009707B5"/>
    <w:rsid w:val="00972D63"/>
    <w:rsid w:val="009746CF"/>
    <w:rsid w:val="00976155"/>
    <w:rsid w:val="009762D2"/>
    <w:rsid w:val="009762F1"/>
    <w:rsid w:val="00976439"/>
    <w:rsid w:val="0097692D"/>
    <w:rsid w:val="009776D2"/>
    <w:rsid w:val="00977EA8"/>
    <w:rsid w:val="0098140D"/>
    <w:rsid w:val="00981CED"/>
    <w:rsid w:val="0098432A"/>
    <w:rsid w:val="00986933"/>
    <w:rsid w:val="00987225"/>
    <w:rsid w:val="00990870"/>
    <w:rsid w:val="00990DCF"/>
    <w:rsid w:val="009920F5"/>
    <w:rsid w:val="00992B56"/>
    <w:rsid w:val="00992CDA"/>
    <w:rsid w:val="00993342"/>
    <w:rsid w:val="00996CE4"/>
    <w:rsid w:val="009A04B2"/>
    <w:rsid w:val="009A38EA"/>
    <w:rsid w:val="009A3F36"/>
    <w:rsid w:val="009A48D8"/>
    <w:rsid w:val="009A52C7"/>
    <w:rsid w:val="009A6C59"/>
    <w:rsid w:val="009A7878"/>
    <w:rsid w:val="009B0888"/>
    <w:rsid w:val="009B33DF"/>
    <w:rsid w:val="009B4270"/>
    <w:rsid w:val="009B44CC"/>
    <w:rsid w:val="009B5651"/>
    <w:rsid w:val="009B62E4"/>
    <w:rsid w:val="009B6765"/>
    <w:rsid w:val="009C1A1F"/>
    <w:rsid w:val="009C4319"/>
    <w:rsid w:val="009D109E"/>
    <w:rsid w:val="009D1CC8"/>
    <w:rsid w:val="009D1CD9"/>
    <w:rsid w:val="009D1F28"/>
    <w:rsid w:val="009D4830"/>
    <w:rsid w:val="009D592E"/>
    <w:rsid w:val="009D5988"/>
    <w:rsid w:val="009D797A"/>
    <w:rsid w:val="009E026A"/>
    <w:rsid w:val="009E12ED"/>
    <w:rsid w:val="009E3B56"/>
    <w:rsid w:val="009E49B5"/>
    <w:rsid w:val="009E551E"/>
    <w:rsid w:val="009E7066"/>
    <w:rsid w:val="009F1948"/>
    <w:rsid w:val="009F1EF8"/>
    <w:rsid w:val="009F2367"/>
    <w:rsid w:val="009F4B78"/>
    <w:rsid w:val="009F606B"/>
    <w:rsid w:val="00A0217C"/>
    <w:rsid w:val="00A035CA"/>
    <w:rsid w:val="00A04625"/>
    <w:rsid w:val="00A064BC"/>
    <w:rsid w:val="00A06840"/>
    <w:rsid w:val="00A06EAD"/>
    <w:rsid w:val="00A11B75"/>
    <w:rsid w:val="00A121BF"/>
    <w:rsid w:val="00A1293C"/>
    <w:rsid w:val="00A14F9B"/>
    <w:rsid w:val="00A167F1"/>
    <w:rsid w:val="00A20EC0"/>
    <w:rsid w:val="00A2150B"/>
    <w:rsid w:val="00A215D9"/>
    <w:rsid w:val="00A2292C"/>
    <w:rsid w:val="00A23FC3"/>
    <w:rsid w:val="00A3288D"/>
    <w:rsid w:val="00A329DC"/>
    <w:rsid w:val="00A32A00"/>
    <w:rsid w:val="00A35AA7"/>
    <w:rsid w:val="00A36F87"/>
    <w:rsid w:val="00A41135"/>
    <w:rsid w:val="00A41FEB"/>
    <w:rsid w:val="00A42AA0"/>
    <w:rsid w:val="00A44DA6"/>
    <w:rsid w:val="00A50921"/>
    <w:rsid w:val="00A5160D"/>
    <w:rsid w:val="00A538BA"/>
    <w:rsid w:val="00A53D2A"/>
    <w:rsid w:val="00A54C85"/>
    <w:rsid w:val="00A56CA4"/>
    <w:rsid w:val="00A56E51"/>
    <w:rsid w:val="00A65E40"/>
    <w:rsid w:val="00A65F04"/>
    <w:rsid w:val="00A65F2E"/>
    <w:rsid w:val="00A71AD5"/>
    <w:rsid w:val="00A8073E"/>
    <w:rsid w:val="00A80883"/>
    <w:rsid w:val="00A81BED"/>
    <w:rsid w:val="00A82FC6"/>
    <w:rsid w:val="00A85887"/>
    <w:rsid w:val="00A9030A"/>
    <w:rsid w:val="00A92270"/>
    <w:rsid w:val="00A92783"/>
    <w:rsid w:val="00A92DE8"/>
    <w:rsid w:val="00A95E0E"/>
    <w:rsid w:val="00AA10AE"/>
    <w:rsid w:val="00AA329F"/>
    <w:rsid w:val="00AA7B6A"/>
    <w:rsid w:val="00AB40C6"/>
    <w:rsid w:val="00AB5151"/>
    <w:rsid w:val="00AB593E"/>
    <w:rsid w:val="00AB59E7"/>
    <w:rsid w:val="00AB5D37"/>
    <w:rsid w:val="00AC2297"/>
    <w:rsid w:val="00AC4A2E"/>
    <w:rsid w:val="00AC4C5C"/>
    <w:rsid w:val="00AD11D3"/>
    <w:rsid w:val="00AD1885"/>
    <w:rsid w:val="00AD50BA"/>
    <w:rsid w:val="00AD5EDC"/>
    <w:rsid w:val="00AD696C"/>
    <w:rsid w:val="00AE02E7"/>
    <w:rsid w:val="00AE0F75"/>
    <w:rsid w:val="00AE13FA"/>
    <w:rsid w:val="00AE319E"/>
    <w:rsid w:val="00AE3B2C"/>
    <w:rsid w:val="00AE3B4E"/>
    <w:rsid w:val="00AE676F"/>
    <w:rsid w:val="00AE6B0B"/>
    <w:rsid w:val="00AE6D3A"/>
    <w:rsid w:val="00AE709C"/>
    <w:rsid w:val="00AE7DD9"/>
    <w:rsid w:val="00AE7F3D"/>
    <w:rsid w:val="00AF156D"/>
    <w:rsid w:val="00AF1EEE"/>
    <w:rsid w:val="00AF2B38"/>
    <w:rsid w:val="00B004C1"/>
    <w:rsid w:val="00B0168B"/>
    <w:rsid w:val="00B030B9"/>
    <w:rsid w:val="00B03458"/>
    <w:rsid w:val="00B04B8E"/>
    <w:rsid w:val="00B0591C"/>
    <w:rsid w:val="00B05A56"/>
    <w:rsid w:val="00B0731F"/>
    <w:rsid w:val="00B07A18"/>
    <w:rsid w:val="00B1072F"/>
    <w:rsid w:val="00B108CF"/>
    <w:rsid w:val="00B11FE3"/>
    <w:rsid w:val="00B13699"/>
    <w:rsid w:val="00B15820"/>
    <w:rsid w:val="00B215D8"/>
    <w:rsid w:val="00B2218A"/>
    <w:rsid w:val="00B246ED"/>
    <w:rsid w:val="00B26DD0"/>
    <w:rsid w:val="00B338C8"/>
    <w:rsid w:val="00B341CC"/>
    <w:rsid w:val="00B34952"/>
    <w:rsid w:val="00B35321"/>
    <w:rsid w:val="00B35505"/>
    <w:rsid w:val="00B35CB3"/>
    <w:rsid w:val="00B35E0A"/>
    <w:rsid w:val="00B40124"/>
    <w:rsid w:val="00B40B86"/>
    <w:rsid w:val="00B41317"/>
    <w:rsid w:val="00B42E03"/>
    <w:rsid w:val="00B443E2"/>
    <w:rsid w:val="00B45E98"/>
    <w:rsid w:val="00B46222"/>
    <w:rsid w:val="00B54092"/>
    <w:rsid w:val="00B5444C"/>
    <w:rsid w:val="00B5568B"/>
    <w:rsid w:val="00B557BF"/>
    <w:rsid w:val="00B56147"/>
    <w:rsid w:val="00B5720A"/>
    <w:rsid w:val="00B604A0"/>
    <w:rsid w:val="00B60761"/>
    <w:rsid w:val="00B620A5"/>
    <w:rsid w:val="00B62BB1"/>
    <w:rsid w:val="00B63099"/>
    <w:rsid w:val="00B63559"/>
    <w:rsid w:val="00B73882"/>
    <w:rsid w:val="00B73979"/>
    <w:rsid w:val="00B751B0"/>
    <w:rsid w:val="00B762E0"/>
    <w:rsid w:val="00B86C54"/>
    <w:rsid w:val="00B874C4"/>
    <w:rsid w:val="00B90449"/>
    <w:rsid w:val="00B97AA2"/>
    <w:rsid w:val="00B97B8E"/>
    <w:rsid w:val="00BA00A8"/>
    <w:rsid w:val="00BA37A4"/>
    <w:rsid w:val="00BA4FB0"/>
    <w:rsid w:val="00BA5169"/>
    <w:rsid w:val="00BA6138"/>
    <w:rsid w:val="00BA7D67"/>
    <w:rsid w:val="00BB1930"/>
    <w:rsid w:val="00BB3478"/>
    <w:rsid w:val="00BB3F68"/>
    <w:rsid w:val="00BB73DC"/>
    <w:rsid w:val="00BC2247"/>
    <w:rsid w:val="00BC5572"/>
    <w:rsid w:val="00BD1BD3"/>
    <w:rsid w:val="00BD497C"/>
    <w:rsid w:val="00BD57EE"/>
    <w:rsid w:val="00BE4E8A"/>
    <w:rsid w:val="00BE4FBD"/>
    <w:rsid w:val="00BE508D"/>
    <w:rsid w:val="00BE5745"/>
    <w:rsid w:val="00BE5F63"/>
    <w:rsid w:val="00BF2A79"/>
    <w:rsid w:val="00BF375F"/>
    <w:rsid w:val="00C02372"/>
    <w:rsid w:val="00C044C3"/>
    <w:rsid w:val="00C077EC"/>
    <w:rsid w:val="00C10453"/>
    <w:rsid w:val="00C116A5"/>
    <w:rsid w:val="00C13BCA"/>
    <w:rsid w:val="00C141B9"/>
    <w:rsid w:val="00C158CF"/>
    <w:rsid w:val="00C16518"/>
    <w:rsid w:val="00C1787D"/>
    <w:rsid w:val="00C20F14"/>
    <w:rsid w:val="00C22B7C"/>
    <w:rsid w:val="00C24AFF"/>
    <w:rsid w:val="00C24D66"/>
    <w:rsid w:val="00C27D60"/>
    <w:rsid w:val="00C3184D"/>
    <w:rsid w:val="00C331FD"/>
    <w:rsid w:val="00C34DCB"/>
    <w:rsid w:val="00C36D0C"/>
    <w:rsid w:val="00C3708D"/>
    <w:rsid w:val="00C4138A"/>
    <w:rsid w:val="00C440B4"/>
    <w:rsid w:val="00C446F9"/>
    <w:rsid w:val="00C462CB"/>
    <w:rsid w:val="00C46F39"/>
    <w:rsid w:val="00C47AFE"/>
    <w:rsid w:val="00C5067F"/>
    <w:rsid w:val="00C515C3"/>
    <w:rsid w:val="00C51AA2"/>
    <w:rsid w:val="00C52E43"/>
    <w:rsid w:val="00C56A78"/>
    <w:rsid w:val="00C609C3"/>
    <w:rsid w:val="00C60E16"/>
    <w:rsid w:val="00C63C64"/>
    <w:rsid w:val="00C65E4E"/>
    <w:rsid w:val="00C66610"/>
    <w:rsid w:val="00C66648"/>
    <w:rsid w:val="00C66FEF"/>
    <w:rsid w:val="00C70CB4"/>
    <w:rsid w:val="00C728D5"/>
    <w:rsid w:val="00C75119"/>
    <w:rsid w:val="00C76DD6"/>
    <w:rsid w:val="00C9004F"/>
    <w:rsid w:val="00C90B62"/>
    <w:rsid w:val="00C91C08"/>
    <w:rsid w:val="00C92333"/>
    <w:rsid w:val="00C94D9C"/>
    <w:rsid w:val="00C953A1"/>
    <w:rsid w:val="00C95B38"/>
    <w:rsid w:val="00C968B5"/>
    <w:rsid w:val="00C97F0E"/>
    <w:rsid w:val="00CA06AC"/>
    <w:rsid w:val="00CA1910"/>
    <w:rsid w:val="00CA1D9E"/>
    <w:rsid w:val="00CA242A"/>
    <w:rsid w:val="00CA27BD"/>
    <w:rsid w:val="00CA2950"/>
    <w:rsid w:val="00CA2AB6"/>
    <w:rsid w:val="00CA3211"/>
    <w:rsid w:val="00CA4BCC"/>
    <w:rsid w:val="00CA5661"/>
    <w:rsid w:val="00CB01D6"/>
    <w:rsid w:val="00CB0E26"/>
    <w:rsid w:val="00CB311E"/>
    <w:rsid w:val="00CB71E1"/>
    <w:rsid w:val="00CC0ED3"/>
    <w:rsid w:val="00CC1894"/>
    <w:rsid w:val="00CC2EE2"/>
    <w:rsid w:val="00CC3D03"/>
    <w:rsid w:val="00CC45DB"/>
    <w:rsid w:val="00CC73FF"/>
    <w:rsid w:val="00CD141E"/>
    <w:rsid w:val="00CD45DA"/>
    <w:rsid w:val="00CE076A"/>
    <w:rsid w:val="00CE0F5F"/>
    <w:rsid w:val="00CE123E"/>
    <w:rsid w:val="00CE155B"/>
    <w:rsid w:val="00CE25E8"/>
    <w:rsid w:val="00CE2EA4"/>
    <w:rsid w:val="00CE5714"/>
    <w:rsid w:val="00CE6138"/>
    <w:rsid w:val="00CE6F59"/>
    <w:rsid w:val="00CE7976"/>
    <w:rsid w:val="00CE7AAB"/>
    <w:rsid w:val="00CF2673"/>
    <w:rsid w:val="00CF2DA1"/>
    <w:rsid w:val="00CF43B1"/>
    <w:rsid w:val="00CF4E40"/>
    <w:rsid w:val="00CF4E7F"/>
    <w:rsid w:val="00D000BC"/>
    <w:rsid w:val="00D00C3F"/>
    <w:rsid w:val="00D06AD1"/>
    <w:rsid w:val="00D11E53"/>
    <w:rsid w:val="00D17549"/>
    <w:rsid w:val="00D20655"/>
    <w:rsid w:val="00D24D97"/>
    <w:rsid w:val="00D26C4A"/>
    <w:rsid w:val="00D275F5"/>
    <w:rsid w:val="00D31299"/>
    <w:rsid w:val="00D3191C"/>
    <w:rsid w:val="00D376F1"/>
    <w:rsid w:val="00D43CA8"/>
    <w:rsid w:val="00D4523D"/>
    <w:rsid w:val="00D4593F"/>
    <w:rsid w:val="00D45BD4"/>
    <w:rsid w:val="00D4775B"/>
    <w:rsid w:val="00D47AB8"/>
    <w:rsid w:val="00D51A95"/>
    <w:rsid w:val="00D52C56"/>
    <w:rsid w:val="00D5555E"/>
    <w:rsid w:val="00D55D94"/>
    <w:rsid w:val="00D56566"/>
    <w:rsid w:val="00D6189C"/>
    <w:rsid w:val="00D63FDC"/>
    <w:rsid w:val="00D647A4"/>
    <w:rsid w:val="00D6487A"/>
    <w:rsid w:val="00D64E04"/>
    <w:rsid w:val="00D65A5E"/>
    <w:rsid w:val="00D669D1"/>
    <w:rsid w:val="00D7049A"/>
    <w:rsid w:val="00D704F6"/>
    <w:rsid w:val="00D71E06"/>
    <w:rsid w:val="00D722B1"/>
    <w:rsid w:val="00D73CFC"/>
    <w:rsid w:val="00D73E2B"/>
    <w:rsid w:val="00D74A82"/>
    <w:rsid w:val="00D753F6"/>
    <w:rsid w:val="00D7737D"/>
    <w:rsid w:val="00D80897"/>
    <w:rsid w:val="00D81375"/>
    <w:rsid w:val="00D8540E"/>
    <w:rsid w:val="00D85C4D"/>
    <w:rsid w:val="00D8730B"/>
    <w:rsid w:val="00D9072A"/>
    <w:rsid w:val="00D921AE"/>
    <w:rsid w:val="00D930ED"/>
    <w:rsid w:val="00D944B7"/>
    <w:rsid w:val="00D94852"/>
    <w:rsid w:val="00D965A8"/>
    <w:rsid w:val="00DA039C"/>
    <w:rsid w:val="00DA0CF3"/>
    <w:rsid w:val="00DA10B4"/>
    <w:rsid w:val="00DA337E"/>
    <w:rsid w:val="00DA3EF3"/>
    <w:rsid w:val="00DA6EBE"/>
    <w:rsid w:val="00DB27CC"/>
    <w:rsid w:val="00DB3A40"/>
    <w:rsid w:val="00DB42A4"/>
    <w:rsid w:val="00DB4EF9"/>
    <w:rsid w:val="00DB60D3"/>
    <w:rsid w:val="00DB63BE"/>
    <w:rsid w:val="00DC0CAB"/>
    <w:rsid w:val="00DC2491"/>
    <w:rsid w:val="00DC29FE"/>
    <w:rsid w:val="00DC430C"/>
    <w:rsid w:val="00DC494B"/>
    <w:rsid w:val="00DC4FE7"/>
    <w:rsid w:val="00DC60FB"/>
    <w:rsid w:val="00DC7319"/>
    <w:rsid w:val="00DC742E"/>
    <w:rsid w:val="00DD38DC"/>
    <w:rsid w:val="00DD430A"/>
    <w:rsid w:val="00DD63FF"/>
    <w:rsid w:val="00DE4520"/>
    <w:rsid w:val="00DE6CA2"/>
    <w:rsid w:val="00DF0A60"/>
    <w:rsid w:val="00DF3145"/>
    <w:rsid w:val="00DF4B0E"/>
    <w:rsid w:val="00DF4BFD"/>
    <w:rsid w:val="00E01E4B"/>
    <w:rsid w:val="00E05545"/>
    <w:rsid w:val="00E062B0"/>
    <w:rsid w:val="00E0711E"/>
    <w:rsid w:val="00E0770C"/>
    <w:rsid w:val="00E07A56"/>
    <w:rsid w:val="00E14DFA"/>
    <w:rsid w:val="00E17EA5"/>
    <w:rsid w:val="00E229DB"/>
    <w:rsid w:val="00E2571A"/>
    <w:rsid w:val="00E26EDC"/>
    <w:rsid w:val="00E2713C"/>
    <w:rsid w:val="00E30B42"/>
    <w:rsid w:val="00E342D7"/>
    <w:rsid w:val="00E35C26"/>
    <w:rsid w:val="00E410EA"/>
    <w:rsid w:val="00E41D5C"/>
    <w:rsid w:val="00E437F7"/>
    <w:rsid w:val="00E44051"/>
    <w:rsid w:val="00E55017"/>
    <w:rsid w:val="00E55416"/>
    <w:rsid w:val="00E557D1"/>
    <w:rsid w:val="00E56282"/>
    <w:rsid w:val="00E616BF"/>
    <w:rsid w:val="00E658AA"/>
    <w:rsid w:val="00E66BAC"/>
    <w:rsid w:val="00E70D30"/>
    <w:rsid w:val="00E716BA"/>
    <w:rsid w:val="00E736BE"/>
    <w:rsid w:val="00E7569A"/>
    <w:rsid w:val="00E75977"/>
    <w:rsid w:val="00E76431"/>
    <w:rsid w:val="00E7686D"/>
    <w:rsid w:val="00E813BA"/>
    <w:rsid w:val="00E8289F"/>
    <w:rsid w:val="00E8590C"/>
    <w:rsid w:val="00E85F76"/>
    <w:rsid w:val="00E93590"/>
    <w:rsid w:val="00E94506"/>
    <w:rsid w:val="00E95A7B"/>
    <w:rsid w:val="00E969E9"/>
    <w:rsid w:val="00EA01A0"/>
    <w:rsid w:val="00EA155A"/>
    <w:rsid w:val="00EA24D4"/>
    <w:rsid w:val="00EA2851"/>
    <w:rsid w:val="00EA3515"/>
    <w:rsid w:val="00EA3689"/>
    <w:rsid w:val="00EA3A14"/>
    <w:rsid w:val="00EA5133"/>
    <w:rsid w:val="00EA55FE"/>
    <w:rsid w:val="00EA5981"/>
    <w:rsid w:val="00EB0B4F"/>
    <w:rsid w:val="00EB1611"/>
    <w:rsid w:val="00EB1B59"/>
    <w:rsid w:val="00EB4384"/>
    <w:rsid w:val="00EB6065"/>
    <w:rsid w:val="00EB64CF"/>
    <w:rsid w:val="00EC0826"/>
    <w:rsid w:val="00EC161E"/>
    <w:rsid w:val="00EC1DF3"/>
    <w:rsid w:val="00EC37DB"/>
    <w:rsid w:val="00EC4E99"/>
    <w:rsid w:val="00ED2E68"/>
    <w:rsid w:val="00ED3A21"/>
    <w:rsid w:val="00ED6982"/>
    <w:rsid w:val="00ED773D"/>
    <w:rsid w:val="00EE0218"/>
    <w:rsid w:val="00EE0E54"/>
    <w:rsid w:val="00EE1033"/>
    <w:rsid w:val="00EE3876"/>
    <w:rsid w:val="00EF24BB"/>
    <w:rsid w:val="00EF2B90"/>
    <w:rsid w:val="00EF32F6"/>
    <w:rsid w:val="00EF4114"/>
    <w:rsid w:val="00EF448F"/>
    <w:rsid w:val="00EF4634"/>
    <w:rsid w:val="00EF472E"/>
    <w:rsid w:val="00EF4A5A"/>
    <w:rsid w:val="00EF4EC4"/>
    <w:rsid w:val="00EF66A9"/>
    <w:rsid w:val="00EF74D8"/>
    <w:rsid w:val="00EF7670"/>
    <w:rsid w:val="00F01898"/>
    <w:rsid w:val="00F03F94"/>
    <w:rsid w:val="00F05EE0"/>
    <w:rsid w:val="00F06985"/>
    <w:rsid w:val="00F07DE8"/>
    <w:rsid w:val="00F156B3"/>
    <w:rsid w:val="00F15FD8"/>
    <w:rsid w:val="00F16BC8"/>
    <w:rsid w:val="00F21A1A"/>
    <w:rsid w:val="00F22813"/>
    <w:rsid w:val="00F22FC8"/>
    <w:rsid w:val="00F26638"/>
    <w:rsid w:val="00F26A29"/>
    <w:rsid w:val="00F27F36"/>
    <w:rsid w:val="00F27FF1"/>
    <w:rsid w:val="00F3113F"/>
    <w:rsid w:val="00F32B8C"/>
    <w:rsid w:val="00F33383"/>
    <w:rsid w:val="00F33D5B"/>
    <w:rsid w:val="00F34288"/>
    <w:rsid w:val="00F3602B"/>
    <w:rsid w:val="00F36EDB"/>
    <w:rsid w:val="00F37AAA"/>
    <w:rsid w:val="00F4030B"/>
    <w:rsid w:val="00F42F65"/>
    <w:rsid w:val="00F438B4"/>
    <w:rsid w:val="00F444F5"/>
    <w:rsid w:val="00F4602E"/>
    <w:rsid w:val="00F46BCF"/>
    <w:rsid w:val="00F50B26"/>
    <w:rsid w:val="00F515AF"/>
    <w:rsid w:val="00F53E05"/>
    <w:rsid w:val="00F5435B"/>
    <w:rsid w:val="00F5550A"/>
    <w:rsid w:val="00F55920"/>
    <w:rsid w:val="00F55A56"/>
    <w:rsid w:val="00F56088"/>
    <w:rsid w:val="00F56384"/>
    <w:rsid w:val="00F56844"/>
    <w:rsid w:val="00F5695E"/>
    <w:rsid w:val="00F6031D"/>
    <w:rsid w:val="00F61303"/>
    <w:rsid w:val="00F65606"/>
    <w:rsid w:val="00F66614"/>
    <w:rsid w:val="00F67764"/>
    <w:rsid w:val="00F67890"/>
    <w:rsid w:val="00F67F41"/>
    <w:rsid w:val="00F67FEF"/>
    <w:rsid w:val="00F71232"/>
    <w:rsid w:val="00F71EEC"/>
    <w:rsid w:val="00F72027"/>
    <w:rsid w:val="00F74722"/>
    <w:rsid w:val="00F75F45"/>
    <w:rsid w:val="00F76E23"/>
    <w:rsid w:val="00F8106A"/>
    <w:rsid w:val="00F82957"/>
    <w:rsid w:val="00F83BD2"/>
    <w:rsid w:val="00F85516"/>
    <w:rsid w:val="00F857CA"/>
    <w:rsid w:val="00F86B5A"/>
    <w:rsid w:val="00F92C2B"/>
    <w:rsid w:val="00F94241"/>
    <w:rsid w:val="00F945CD"/>
    <w:rsid w:val="00F95157"/>
    <w:rsid w:val="00F95BAF"/>
    <w:rsid w:val="00F95ECF"/>
    <w:rsid w:val="00F9729F"/>
    <w:rsid w:val="00F9792C"/>
    <w:rsid w:val="00FA4AD8"/>
    <w:rsid w:val="00FA5B48"/>
    <w:rsid w:val="00FA71FD"/>
    <w:rsid w:val="00FB3597"/>
    <w:rsid w:val="00FB4295"/>
    <w:rsid w:val="00FB53CA"/>
    <w:rsid w:val="00FB5BFB"/>
    <w:rsid w:val="00FB64E5"/>
    <w:rsid w:val="00FC3750"/>
    <w:rsid w:val="00FC487C"/>
    <w:rsid w:val="00FC51A5"/>
    <w:rsid w:val="00FD168A"/>
    <w:rsid w:val="00FD3643"/>
    <w:rsid w:val="00FD553C"/>
    <w:rsid w:val="00FD6F5E"/>
    <w:rsid w:val="00FE087D"/>
    <w:rsid w:val="00FE133D"/>
    <w:rsid w:val="00FE2090"/>
    <w:rsid w:val="00FE359D"/>
    <w:rsid w:val="00FE47EA"/>
    <w:rsid w:val="00FE7BC4"/>
    <w:rsid w:val="00FF29D4"/>
    <w:rsid w:val="00FF38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D343097"/>
  <w15:chartTrackingRefBased/>
  <w15:docId w15:val="{339A8447-FECA-4076-A199-30157D8B8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04A23"/>
    <w:rPr>
      <w:sz w:val="24"/>
      <w:szCs w:val="24"/>
      <w:lang w:val="de-DE" w:eastAsia="ja-JP"/>
    </w:rPr>
  </w:style>
  <w:style w:type="paragraph" w:styleId="Heading3">
    <w:name w:val="heading 3"/>
    <w:basedOn w:val="Normal"/>
    <w:next w:val="Normal"/>
    <w:link w:val="Heading3Char"/>
    <w:uiPriority w:val="9"/>
    <w:semiHidden/>
    <w:unhideWhenUsed/>
    <w:qFormat/>
    <w:rsid w:val="00291F5C"/>
    <w:pPr>
      <w:keepNext/>
      <w:spacing w:before="240" w:after="60"/>
      <w:outlineLvl w:val="2"/>
    </w:pPr>
    <w:rPr>
      <w:rFonts w:ascii="Calibri Light" w:eastAsia="Times New Roman"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istory">
    <w:name w:val="History"/>
    <w:basedOn w:val="Normal"/>
    <w:rsid w:val="005B291B"/>
    <w:pPr>
      <w:spacing w:before="230" w:after="460" w:line="180" w:lineRule="exact"/>
      <w:jc w:val="right"/>
    </w:pPr>
    <w:rPr>
      <w:rFonts w:ascii="Arial" w:hAnsi="Arial"/>
      <w:sz w:val="14"/>
      <w:szCs w:val="16"/>
    </w:rPr>
  </w:style>
  <w:style w:type="paragraph" w:customStyle="1" w:styleId="References">
    <w:name w:val="References"/>
    <w:basedOn w:val="Normal"/>
    <w:rsid w:val="005B291B"/>
    <w:pPr>
      <w:spacing w:line="200" w:lineRule="exact"/>
      <w:ind w:left="425" w:hanging="425"/>
      <w:jc w:val="both"/>
    </w:pPr>
    <w:rPr>
      <w:sz w:val="15"/>
      <w:szCs w:val="14"/>
      <w:lang w:val="en-GB"/>
    </w:rPr>
  </w:style>
  <w:style w:type="paragraph" w:customStyle="1" w:styleId="HExperimentalSection">
    <w:name w:val="HExperimental_Section"/>
    <w:basedOn w:val="Normal"/>
    <w:rsid w:val="005B291B"/>
    <w:pPr>
      <w:spacing w:before="460" w:after="230" w:line="230" w:lineRule="atLeast"/>
    </w:pPr>
    <w:rPr>
      <w:i/>
      <w:szCs w:val="20"/>
    </w:rPr>
  </w:style>
  <w:style w:type="paragraph" w:customStyle="1" w:styleId="ExperimentalSection">
    <w:name w:val="ExperimentalSection"/>
    <w:basedOn w:val="Normal"/>
    <w:rsid w:val="005B291B"/>
    <w:pPr>
      <w:spacing w:after="240" w:line="200" w:lineRule="exact"/>
      <w:ind w:firstLine="170"/>
      <w:jc w:val="both"/>
    </w:pPr>
    <w:rPr>
      <w:sz w:val="16"/>
      <w:szCs w:val="14"/>
      <w:lang w:val="en-GB"/>
    </w:rPr>
  </w:style>
  <w:style w:type="paragraph" w:customStyle="1" w:styleId="FNB">
    <w:name w:val="FNB"/>
    <w:basedOn w:val="Normal"/>
    <w:link w:val="FNBChar"/>
    <w:rsid w:val="005B291B"/>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5B291B"/>
    <w:rPr>
      <w:rFonts w:ascii="Times" w:hAnsi="Times"/>
      <w:sz w:val="14"/>
      <w:szCs w:val="3276"/>
      <w:lang w:val="en-GB" w:eastAsia="de-DE" w:bidi="ar-SA"/>
    </w:rPr>
  </w:style>
  <w:style w:type="paragraph" w:customStyle="1" w:styleId="Ack">
    <w:name w:val="Ack"/>
    <w:basedOn w:val="Normal"/>
    <w:rsid w:val="005B291B"/>
  </w:style>
  <w:style w:type="paragraph" w:customStyle="1" w:styleId="TableCaption">
    <w:name w:val="TableCaption"/>
    <w:basedOn w:val="Normal"/>
    <w:rsid w:val="006511FB"/>
    <w:pPr>
      <w:spacing w:after="120" w:line="190" w:lineRule="exact"/>
      <w:jc w:val="both"/>
    </w:pPr>
    <w:rPr>
      <w:rFonts w:ascii="Arial" w:hAnsi="Arial"/>
      <w:sz w:val="16"/>
      <w:szCs w:val="14"/>
      <w:lang w:val="en-GB"/>
    </w:rPr>
  </w:style>
  <w:style w:type="paragraph" w:customStyle="1" w:styleId="TableHead">
    <w:name w:val="TableHead"/>
    <w:basedOn w:val="TableCaption"/>
    <w:rsid w:val="006511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6511FB"/>
  </w:style>
  <w:style w:type="paragraph" w:customStyle="1" w:styleId="TableFoot">
    <w:name w:val="TableFoot"/>
    <w:basedOn w:val="TableBody"/>
    <w:rsid w:val="006511FB"/>
    <w:pPr>
      <w:spacing w:before="60" w:after="60"/>
    </w:pPr>
  </w:style>
  <w:style w:type="paragraph" w:customStyle="1" w:styleId="SchemeCaption">
    <w:name w:val="SchemeCaption"/>
    <w:basedOn w:val="Normal"/>
    <w:rsid w:val="006511FB"/>
    <w:pPr>
      <w:spacing w:before="230" w:after="460" w:line="190" w:lineRule="exact"/>
      <w:jc w:val="both"/>
    </w:pPr>
    <w:rPr>
      <w:rFonts w:ascii="Arial" w:hAnsi="Arial"/>
      <w:sz w:val="16"/>
      <w:szCs w:val="14"/>
      <w:lang w:val="en-GB"/>
    </w:rPr>
  </w:style>
  <w:style w:type="paragraph" w:styleId="FootnoteText">
    <w:name w:val="footnote text"/>
    <w:basedOn w:val="Normal"/>
    <w:semiHidden/>
    <w:rsid w:val="00D81375"/>
    <w:pPr>
      <w:keepLines/>
      <w:widowControl w:val="0"/>
      <w:jc w:val="both"/>
    </w:pPr>
    <w:rPr>
      <w:rFonts w:eastAsia="Times New Roman"/>
      <w:sz w:val="20"/>
      <w:szCs w:val="20"/>
      <w:lang w:val="en-GB" w:eastAsia="ro-RO"/>
    </w:rPr>
  </w:style>
  <w:style w:type="paragraph" w:customStyle="1" w:styleId="STOE">
    <w:name w:val="STOE"/>
    <w:basedOn w:val="Normal"/>
    <w:link w:val="STOEChar1"/>
    <w:rsid w:val="00D81375"/>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D81375"/>
    <w:rPr>
      <w:rFonts w:ascii="Times" w:hAnsi="Times"/>
      <w:sz w:val="18"/>
      <w:szCs w:val="3276"/>
      <w:lang w:val="en-GB" w:eastAsia="de-DE" w:bidi="ar-SA"/>
    </w:rPr>
  </w:style>
  <w:style w:type="paragraph" w:styleId="BalloonText">
    <w:name w:val="Balloon Text"/>
    <w:basedOn w:val="Normal"/>
    <w:semiHidden/>
    <w:rsid w:val="00D81375"/>
    <w:rPr>
      <w:rFonts w:ascii="Tahoma" w:hAnsi="Tahoma" w:cs="Tahoma"/>
      <w:sz w:val="16"/>
      <w:szCs w:val="16"/>
    </w:rPr>
  </w:style>
  <w:style w:type="paragraph" w:styleId="Header">
    <w:name w:val="header"/>
    <w:basedOn w:val="Normal"/>
    <w:link w:val="HeaderChar"/>
    <w:rsid w:val="00881456"/>
    <w:pPr>
      <w:tabs>
        <w:tab w:val="center" w:pos="4536"/>
        <w:tab w:val="right" w:pos="9072"/>
      </w:tabs>
    </w:pPr>
    <w:rPr>
      <w:lang w:val="x-none"/>
    </w:rPr>
  </w:style>
  <w:style w:type="paragraph" w:styleId="Footer">
    <w:name w:val="footer"/>
    <w:basedOn w:val="Normal"/>
    <w:link w:val="FooterChar"/>
    <w:uiPriority w:val="99"/>
    <w:rsid w:val="00881456"/>
    <w:pPr>
      <w:tabs>
        <w:tab w:val="center" w:pos="4536"/>
        <w:tab w:val="right" w:pos="9072"/>
      </w:tabs>
    </w:pPr>
  </w:style>
  <w:style w:type="paragraph" w:customStyle="1" w:styleId="Title1">
    <w:name w:val="Title1"/>
    <w:basedOn w:val="Normal"/>
    <w:rsid w:val="00004A23"/>
    <w:rPr>
      <w:b/>
      <w:lang w:val="en-US"/>
    </w:rPr>
  </w:style>
  <w:style w:type="paragraph" w:customStyle="1" w:styleId="AuthorsFull">
    <w:name w:val="Authors Full"/>
    <w:basedOn w:val="Normal"/>
    <w:rsid w:val="00004A23"/>
    <w:rPr>
      <w:i/>
      <w:lang w:val="en-US"/>
    </w:rPr>
  </w:style>
  <w:style w:type="paragraph" w:customStyle="1" w:styleId="dedication">
    <w:name w:val="dedication"/>
    <w:basedOn w:val="Normal"/>
    <w:rsid w:val="00004A23"/>
    <w:rPr>
      <w:i/>
      <w:lang w:val="en-US"/>
    </w:rPr>
  </w:style>
  <w:style w:type="paragraph" w:customStyle="1" w:styleId="Addresses">
    <w:name w:val="Addresses"/>
    <w:basedOn w:val="Normal"/>
    <w:rsid w:val="00004A23"/>
    <w:rPr>
      <w:lang w:val="en-US"/>
    </w:rPr>
  </w:style>
  <w:style w:type="paragraph" w:customStyle="1" w:styleId="Acknowledgements">
    <w:name w:val="Acknowledgements"/>
    <w:basedOn w:val="Normal"/>
    <w:rsid w:val="00004A23"/>
    <w:rPr>
      <w:lang w:val="en-US"/>
    </w:rPr>
  </w:style>
  <w:style w:type="paragraph" w:customStyle="1" w:styleId="Abstract">
    <w:name w:val="Abstract"/>
    <w:basedOn w:val="Normal"/>
    <w:autoRedefine/>
    <w:rsid w:val="00CA3211"/>
    <w:pPr>
      <w:spacing w:line="480" w:lineRule="auto"/>
    </w:pPr>
    <w:rPr>
      <w:lang w:val="en-US"/>
    </w:rPr>
  </w:style>
  <w:style w:type="paragraph" w:customStyle="1" w:styleId="Head1">
    <w:name w:val="Head 1"/>
    <w:basedOn w:val="Normal"/>
    <w:autoRedefine/>
    <w:rsid w:val="00004A23"/>
    <w:pPr>
      <w:spacing w:line="360" w:lineRule="auto"/>
    </w:pPr>
    <w:rPr>
      <w:b/>
      <w:lang w:val="en-US"/>
    </w:rPr>
  </w:style>
  <w:style w:type="paragraph" w:customStyle="1" w:styleId="Head2">
    <w:name w:val="Head 2"/>
    <w:basedOn w:val="Normal"/>
    <w:autoRedefine/>
    <w:rsid w:val="00004A23"/>
    <w:pPr>
      <w:spacing w:line="360" w:lineRule="auto"/>
    </w:pPr>
    <w:rPr>
      <w:i/>
      <w:lang w:val="en-US"/>
    </w:rPr>
  </w:style>
  <w:style w:type="paragraph" w:customStyle="1" w:styleId="dates">
    <w:name w:val="dates"/>
    <w:basedOn w:val="Normal"/>
    <w:rsid w:val="00004A23"/>
    <w:pPr>
      <w:jc w:val="right"/>
    </w:pPr>
    <w:rPr>
      <w:lang w:val="en-US"/>
    </w:rPr>
  </w:style>
  <w:style w:type="paragraph" w:customStyle="1" w:styleId="Literature">
    <w:name w:val="Literature"/>
    <w:basedOn w:val="Normal"/>
    <w:rsid w:val="00004A23"/>
    <w:pPr>
      <w:spacing w:line="480" w:lineRule="auto"/>
    </w:pPr>
  </w:style>
  <w:style w:type="paragraph" w:customStyle="1" w:styleId="Legend">
    <w:name w:val="Legend"/>
    <w:basedOn w:val="Normal"/>
    <w:rsid w:val="00004A23"/>
    <w:rPr>
      <w:lang w:val="en-US"/>
    </w:rPr>
  </w:style>
  <w:style w:type="paragraph" w:customStyle="1" w:styleId="MainText">
    <w:name w:val="Main Text"/>
    <w:basedOn w:val="Normal"/>
    <w:link w:val="MainTextChar"/>
    <w:rsid w:val="00004A23"/>
    <w:pPr>
      <w:spacing w:line="480" w:lineRule="auto"/>
    </w:pPr>
    <w:rPr>
      <w:lang w:val="en-US"/>
    </w:rPr>
  </w:style>
  <w:style w:type="paragraph" w:customStyle="1" w:styleId="Tableofcontents">
    <w:name w:val="Table of contents"/>
    <w:basedOn w:val="Normal"/>
    <w:autoRedefine/>
    <w:rsid w:val="00004A23"/>
    <w:rPr>
      <w:lang w:val="en-US"/>
    </w:rPr>
  </w:style>
  <w:style w:type="paragraph" w:customStyle="1" w:styleId="ExperimentalText">
    <w:name w:val="Experimental Text"/>
    <w:basedOn w:val="Normal"/>
    <w:link w:val="ExperimentalTextChar"/>
    <w:rsid w:val="00004A23"/>
    <w:pPr>
      <w:spacing w:line="480" w:lineRule="auto"/>
    </w:pPr>
    <w:rPr>
      <w:lang w:val="en-US"/>
    </w:rPr>
  </w:style>
  <w:style w:type="character" w:customStyle="1" w:styleId="ExperimentalTextChar">
    <w:name w:val="Experimental Text Char"/>
    <w:link w:val="ExperimentalText"/>
    <w:rsid w:val="00004A23"/>
    <w:rPr>
      <w:rFonts w:eastAsia="MS Mincho"/>
      <w:sz w:val="24"/>
      <w:szCs w:val="24"/>
      <w:lang w:val="en-US" w:eastAsia="ja-JP" w:bidi="ar-SA"/>
    </w:rPr>
  </w:style>
  <w:style w:type="character" w:customStyle="1" w:styleId="MainTextChar">
    <w:name w:val="Main Text Char"/>
    <w:link w:val="MainText"/>
    <w:rsid w:val="00004A23"/>
    <w:rPr>
      <w:rFonts w:eastAsia="MS Mincho"/>
      <w:sz w:val="24"/>
      <w:szCs w:val="24"/>
      <w:lang w:val="en-US" w:eastAsia="ja-JP" w:bidi="ar-SA"/>
    </w:rPr>
  </w:style>
  <w:style w:type="paragraph" w:customStyle="1" w:styleId="Title2">
    <w:name w:val="Title2"/>
    <w:basedOn w:val="Normal"/>
    <w:rsid w:val="002D16A0"/>
    <w:rPr>
      <w:b/>
      <w:lang w:val="en-US"/>
    </w:rPr>
  </w:style>
  <w:style w:type="paragraph" w:customStyle="1" w:styleId="Dedication0">
    <w:name w:val="Dedication"/>
    <w:basedOn w:val="Normal"/>
    <w:autoRedefine/>
    <w:rsid w:val="00322D5B"/>
    <w:rPr>
      <w:lang w:val="en-US"/>
    </w:rPr>
  </w:style>
  <w:style w:type="paragraph" w:customStyle="1" w:styleId="Maintext0">
    <w:name w:val="Main text"/>
    <w:basedOn w:val="Normal"/>
    <w:link w:val="MaintextChar0"/>
    <w:autoRedefine/>
    <w:rsid w:val="002D16A0"/>
    <w:pPr>
      <w:spacing w:line="480" w:lineRule="auto"/>
    </w:pPr>
    <w:rPr>
      <w:lang w:val="en-US"/>
    </w:rPr>
  </w:style>
  <w:style w:type="character" w:customStyle="1" w:styleId="MaintextChar0">
    <w:name w:val="Main text Char"/>
    <w:link w:val="Maintext0"/>
    <w:rsid w:val="002D16A0"/>
    <w:rPr>
      <w:sz w:val="24"/>
      <w:szCs w:val="24"/>
      <w:lang w:val="en-US" w:eastAsia="ja-JP"/>
    </w:rPr>
  </w:style>
  <w:style w:type="paragraph" w:customStyle="1" w:styleId="Biography">
    <w:name w:val="Biography"/>
    <w:basedOn w:val="Normal"/>
    <w:autoRedefine/>
    <w:rsid w:val="00562E2B"/>
    <w:rPr>
      <w:i/>
      <w:lang w:val="en-US"/>
    </w:rPr>
  </w:style>
  <w:style w:type="character" w:customStyle="1" w:styleId="HeaderChar">
    <w:name w:val="Header Char"/>
    <w:link w:val="Header"/>
    <w:rsid w:val="00414465"/>
    <w:rPr>
      <w:sz w:val="24"/>
      <w:szCs w:val="24"/>
      <w:lang w:eastAsia="ja-JP"/>
    </w:rPr>
  </w:style>
  <w:style w:type="character" w:styleId="CommentReference">
    <w:name w:val="annotation reference"/>
    <w:uiPriority w:val="99"/>
    <w:semiHidden/>
    <w:unhideWhenUsed/>
    <w:rsid w:val="00664F6D"/>
    <w:rPr>
      <w:sz w:val="16"/>
      <w:szCs w:val="16"/>
    </w:rPr>
  </w:style>
  <w:style w:type="paragraph" w:styleId="CommentText">
    <w:name w:val="annotation text"/>
    <w:basedOn w:val="Normal"/>
    <w:link w:val="CommentTextChar"/>
    <w:uiPriority w:val="99"/>
    <w:semiHidden/>
    <w:unhideWhenUsed/>
    <w:rsid w:val="00664F6D"/>
    <w:rPr>
      <w:sz w:val="20"/>
      <w:szCs w:val="20"/>
      <w:lang w:val="x-none"/>
    </w:rPr>
  </w:style>
  <w:style w:type="character" w:customStyle="1" w:styleId="CommentTextChar">
    <w:name w:val="Comment Text Char"/>
    <w:link w:val="CommentText"/>
    <w:uiPriority w:val="99"/>
    <w:semiHidden/>
    <w:rsid w:val="00664F6D"/>
    <w:rPr>
      <w:lang w:eastAsia="ja-JP"/>
    </w:rPr>
  </w:style>
  <w:style w:type="paragraph" w:styleId="CommentSubject">
    <w:name w:val="annotation subject"/>
    <w:basedOn w:val="CommentText"/>
    <w:next w:val="CommentText"/>
    <w:link w:val="CommentSubjectChar"/>
    <w:uiPriority w:val="99"/>
    <w:semiHidden/>
    <w:unhideWhenUsed/>
    <w:rsid w:val="00664F6D"/>
    <w:rPr>
      <w:b/>
      <w:bCs/>
    </w:rPr>
  </w:style>
  <w:style w:type="character" w:customStyle="1" w:styleId="CommentSubjectChar">
    <w:name w:val="Comment Subject Char"/>
    <w:link w:val="CommentSubject"/>
    <w:uiPriority w:val="99"/>
    <w:semiHidden/>
    <w:rsid w:val="00664F6D"/>
    <w:rPr>
      <w:b/>
      <w:bCs/>
      <w:lang w:eastAsia="ja-JP"/>
    </w:rPr>
  </w:style>
  <w:style w:type="character" w:customStyle="1" w:styleId="FooterChar">
    <w:name w:val="Footer Char"/>
    <w:link w:val="Footer"/>
    <w:uiPriority w:val="99"/>
    <w:rsid w:val="00250F21"/>
    <w:rPr>
      <w:sz w:val="24"/>
      <w:szCs w:val="24"/>
      <w:lang w:eastAsia="ja-JP"/>
    </w:rPr>
  </w:style>
  <w:style w:type="paragraph" w:styleId="Bibliography">
    <w:name w:val="Bibliography"/>
    <w:basedOn w:val="Normal"/>
    <w:next w:val="Normal"/>
    <w:uiPriority w:val="37"/>
    <w:unhideWhenUsed/>
    <w:rsid w:val="00CE0F5F"/>
    <w:pPr>
      <w:tabs>
        <w:tab w:val="left" w:pos="504"/>
      </w:tabs>
      <w:ind w:left="504" w:hanging="504"/>
    </w:pPr>
  </w:style>
  <w:style w:type="character" w:customStyle="1" w:styleId="Heading3Char">
    <w:name w:val="Heading 3 Char"/>
    <w:link w:val="Heading3"/>
    <w:uiPriority w:val="9"/>
    <w:semiHidden/>
    <w:rsid w:val="00291F5C"/>
    <w:rPr>
      <w:rFonts w:ascii="Calibri Light" w:eastAsia="Times New Roman" w:hAnsi="Calibri Light" w:cs="Times New Roman"/>
      <w:b/>
      <w:bCs/>
      <w:sz w:val="26"/>
      <w:szCs w:val="26"/>
      <w:lang w:val="de-DE" w:eastAsia="ja-JP"/>
    </w:rPr>
  </w:style>
  <w:style w:type="character" w:styleId="Hyperlink">
    <w:name w:val="Hyperlink"/>
    <w:uiPriority w:val="99"/>
    <w:unhideWhenUsed/>
    <w:rsid w:val="00291F5C"/>
    <w:rPr>
      <w:color w:val="0563C1"/>
      <w:u w:val="single"/>
    </w:rPr>
  </w:style>
  <w:style w:type="paragraph" w:styleId="Revision">
    <w:name w:val="Revision"/>
    <w:hidden/>
    <w:uiPriority w:val="99"/>
    <w:semiHidden/>
    <w:rsid w:val="008B459F"/>
    <w:rPr>
      <w:sz w:val="24"/>
      <w:szCs w:val="24"/>
      <w:lang w:val="de-DE" w:eastAsia="ja-JP"/>
    </w:rPr>
  </w:style>
  <w:style w:type="character" w:styleId="LineNumber">
    <w:name w:val="line number"/>
    <w:basedOn w:val="DefaultParagraphFont"/>
    <w:uiPriority w:val="99"/>
    <w:semiHidden/>
    <w:unhideWhenUsed/>
    <w:rsid w:val="00CA3211"/>
  </w:style>
  <w:style w:type="character" w:styleId="Strong">
    <w:name w:val="Strong"/>
    <w:uiPriority w:val="22"/>
    <w:qFormat/>
    <w:rsid w:val="00DC494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6482416">
      <w:bodyDiv w:val="1"/>
      <w:marLeft w:val="0"/>
      <w:marRight w:val="0"/>
      <w:marTop w:val="0"/>
      <w:marBottom w:val="0"/>
      <w:divBdr>
        <w:top w:val="none" w:sz="0" w:space="0" w:color="auto"/>
        <w:left w:val="none" w:sz="0" w:space="0" w:color="auto"/>
        <w:bottom w:val="none" w:sz="0" w:space="0" w:color="auto"/>
        <w:right w:val="none" w:sz="0" w:space="0" w:color="auto"/>
      </w:divBdr>
      <w:divsChild>
        <w:div w:id="1693721843">
          <w:marLeft w:val="0"/>
          <w:marRight w:val="0"/>
          <w:marTop w:val="0"/>
          <w:marBottom w:val="0"/>
          <w:divBdr>
            <w:top w:val="none" w:sz="0" w:space="0" w:color="auto"/>
            <w:left w:val="none" w:sz="0" w:space="0" w:color="auto"/>
            <w:bottom w:val="none" w:sz="0" w:space="0" w:color="auto"/>
            <w:right w:val="none" w:sz="0" w:space="0" w:color="auto"/>
          </w:divBdr>
        </w:div>
        <w:div w:id="212891919">
          <w:marLeft w:val="0"/>
          <w:marRight w:val="0"/>
          <w:marTop w:val="0"/>
          <w:marBottom w:val="0"/>
          <w:divBdr>
            <w:top w:val="none" w:sz="0" w:space="0" w:color="auto"/>
            <w:left w:val="none" w:sz="0" w:space="0" w:color="auto"/>
            <w:bottom w:val="none" w:sz="0" w:space="0" w:color="auto"/>
            <w:right w:val="none" w:sz="0" w:space="0" w:color="auto"/>
          </w:divBdr>
        </w:div>
        <w:div w:id="1511289573">
          <w:marLeft w:val="0"/>
          <w:marRight w:val="0"/>
          <w:marTop w:val="0"/>
          <w:marBottom w:val="0"/>
          <w:divBdr>
            <w:top w:val="none" w:sz="0" w:space="0" w:color="auto"/>
            <w:left w:val="none" w:sz="0" w:space="0" w:color="auto"/>
            <w:bottom w:val="none" w:sz="0" w:space="0" w:color="auto"/>
            <w:right w:val="none" w:sz="0" w:space="0" w:color="auto"/>
          </w:divBdr>
        </w:div>
        <w:div w:id="1773431704">
          <w:marLeft w:val="0"/>
          <w:marRight w:val="0"/>
          <w:marTop w:val="0"/>
          <w:marBottom w:val="0"/>
          <w:divBdr>
            <w:top w:val="none" w:sz="0" w:space="0" w:color="auto"/>
            <w:left w:val="none" w:sz="0" w:space="0" w:color="auto"/>
            <w:bottom w:val="none" w:sz="0" w:space="0" w:color="auto"/>
            <w:right w:val="none" w:sz="0" w:space="0" w:color="auto"/>
          </w:divBdr>
        </w:div>
        <w:div w:id="1463965245">
          <w:marLeft w:val="0"/>
          <w:marRight w:val="0"/>
          <w:marTop w:val="0"/>
          <w:marBottom w:val="0"/>
          <w:divBdr>
            <w:top w:val="none" w:sz="0" w:space="0" w:color="auto"/>
            <w:left w:val="none" w:sz="0" w:space="0" w:color="auto"/>
            <w:bottom w:val="none" w:sz="0" w:space="0" w:color="auto"/>
            <w:right w:val="none" w:sz="0" w:space="0" w:color="auto"/>
          </w:divBdr>
        </w:div>
        <w:div w:id="2037466057">
          <w:marLeft w:val="0"/>
          <w:marRight w:val="0"/>
          <w:marTop w:val="0"/>
          <w:marBottom w:val="0"/>
          <w:divBdr>
            <w:top w:val="none" w:sz="0" w:space="0" w:color="auto"/>
            <w:left w:val="none" w:sz="0" w:space="0" w:color="auto"/>
            <w:bottom w:val="none" w:sz="0" w:space="0" w:color="auto"/>
            <w:right w:val="none" w:sz="0" w:space="0" w:color="auto"/>
          </w:divBdr>
        </w:div>
      </w:divsChild>
    </w:div>
    <w:div w:id="512501807">
      <w:bodyDiv w:val="1"/>
      <w:marLeft w:val="0"/>
      <w:marRight w:val="0"/>
      <w:marTop w:val="0"/>
      <w:marBottom w:val="0"/>
      <w:divBdr>
        <w:top w:val="none" w:sz="0" w:space="0" w:color="auto"/>
        <w:left w:val="none" w:sz="0" w:space="0" w:color="auto"/>
        <w:bottom w:val="none" w:sz="0" w:space="0" w:color="auto"/>
        <w:right w:val="none" w:sz="0" w:space="0" w:color="auto"/>
      </w:divBdr>
    </w:div>
    <w:div w:id="743336639">
      <w:bodyDiv w:val="1"/>
      <w:marLeft w:val="0"/>
      <w:marRight w:val="0"/>
      <w:marTop w:val="0"/>
      <w:marBottom w:val="0"/>
      <w:divBdr>
        <w:top w:val="none" w:sz="0" w:space="0" w:color="auto"/>
        <w:left w:val="none" w:sz="0" w:space="0" w:color="auto"/>
        <w:bottom w:val="none" w:sz="0" w:space="0" w:color="auto"/>
        <w:right w:val="none" w:sz="0" w:space="0" w:color="auto"/>
      </w:divBdr>
    </w:div>
    <w:div w:id="972443856">
      <w:bodyDiv w:val="1"/>
      <w:marLeft w:val="0"/>
      <w:marRight w:val="0"/>
      <w:marTop w:val="0"/>
      <w:marBottom w:val="0"/>
      <w:divBdr>
        <w:top w:val="none" w:sz="0" w:space="0" w:color="auto"/>
        <w:left w:val="none" w:sz="0" w:space="0" w:color="auto"/>
        <w:bottom w:val="none" w:sz="0" w:space="0" w:color="auto"/>
        <w:right w:val="none" w:sz="0" w:space="0" w:color="auto"/>
      </w:divBdr>
      <w:divsChild>
        <w:div w:id="224687791">
          <w:marLeft w:val="360"/>
          <w:marRight w:val="0"/>
          <w:marTop w:val="200"/>
          <w:marBottom w:val="0"/>
          <w:divBdr>
            <w:top w:val="none" w:sz="0" w:space="0" w:color="auto"/>
            <w:left w:val="none" w:sz="0" w:space="0" w:color="auto"/>
            <w:bottom w:val="none" w:sz="0" w:space="0" w:color="auto"/>
            <w:right w:val="none" w:sz="0" w:space="0" w:color="auto"/>
          </w:divBdr>
        </w:div>
      </w:divsChild>
    </w:div>
    <w:div w:id="1226645255">
      <w:bodyDiv w:val="1"/>
      <w:marLeft w:val="0"/>
      <w:marRight w:val="0"/>
      <w:marTop w:val="0"/>
      <w:marBottom w:val="0"/>
      <w:divBdr>
        <w:top w:val="none" w:sz="0" w:space="0" w:color="auto"/>
        <w:left w:val="none" w:sz="0" w:space="0" w:color="auto"/>
        <w:bottom w:val="none" w:sz="0" w:space="0" w:color="auto"/>
        <w:right w:val="none" w:sz="0" w:space="0" w:color="auto"/>
      </w:divBdr>
      <w:divsChild>
        <w:div w:id="2012834432">
          <w:marLeft w:val="0"/>
          <w:marRight w:val="0"/>
          <w:marTop w:val="0"/>
          <w:marBottom w:val="0"/>
          <w:divBdr>
            <w:top w:val="none" w:sz="0" w:space="0" w:color="auto"/>
            <w:left w:val="none" w:sz="0" w:space="0" w:color="auto"/>
            <w:bottom w:val="none" w:sz="0" w:space="0" w:color="auto"/>
            <w:right w:val="none" w:sz="0" w:space="0" w:color="auto"/>
          </w:divBdr>
        </w:div>
        <w:div w:id="1172722013">
          <w:marLeft w:val="0"/>
          <w:marRight w:val="0"/>
          <w:marTop w:val="0"/>
          <w:marBottom w:val="0"/>
          <w:divBdr>
            <w:top w:val="none" w:sz="0" w:space="0" w:color="auto"/>
            <w:left w:val="none" w:sz="0" w:space="0" w:color="auto"/>
            <w:bottom w:val="none" w:sz="0" w:space="0" w:color="auto"/>
            <w:right w:val="none" w:sz="0" w:space="0" w:color="auto"/>
          </w:divBdr>
        </w:div>
        <w:div w:id="229462531">
          <w:marLeft w:val="0"/>
          <w:marRight w:val="0"/>
          <w:marTop w:val="0"/>
          <w:marBottom w:val="0"/>
          <w:divBdr>
            <w:top w:val="none" w:sz="0" w:space="0" w:color="auto"/>
            <w:left w:val="none" w:sz="0" w:space="0" w:color="auto"/>
            <w:bottom w:val="none" w:sz="0" w:space="0" w:color="auto"/>
            <w:right w:val="none" w:sz="0" w:space="0" w:color="auto"/>
          </w:divBdr>
        </w:div>
        <w:div w:id="1512909440">
          <w:marLeft w:val="0"/>
          <w:marRight w:val="0"/>
          <w:marTop w:val="0"/>
          <w:marBottom w:val="0"/>
          <w:divBdr>
            <w:top w:val="none" w:sz="0" w:space="0" w:color="auto"/>
            <w:left w:val="none" w:sz="0" w:space="0" w:color="auto"/>
            <w:bottom w:val="none" w:sz="0" w:space="0" w:color="auto"/>
            <w:right w:val="none" w:sz="0" w:space="0" w:color="auto"/>
          </w:divBdr>
        </w:div>
        <w:div w:id="174467380">
          <w:marLeft w:val="0"/>
          <w:marRight w:val="0"/>
          <w:marTop w:val="0"/>
          <w:marBottom w:val="0"/>
          <w:divBdr>
            <w:top w:val="none" w:sz="0" w:space="0" w:color="auto"/>
            <w:left w:val="none" w:sz="0" w:space="0" w:color="auto"/>
            <w:bottom w:val="none" w:sz="0" w:space="0" w:color="auto"/>
            <w:right w:val="none" w:sz="0" w:space="0" w:color="auto"/>
          </w:divBdr>
        </w:div>
      </w:divsChild>
    </w:div>
    <w:div w:id="1577519227">
      <w:bodyDiv w:val="1"/>
      <w:marLeft w:val="0"/>
      <w:marRight w:val="0"/>
      <w:marTop w:val="0"/>
      <w:marBottom w:val="0"/>
      <w:divBdr>
        <w:top w:val="none" w:sz="0" w:space="0" w:color="auto"/>
        <w:left w:val="none" w:sz="0" w:space="0" w:color="auto"/>
        <w:bottom w:val="none" w:sz="0" w:space="0" w:color="auto"/>
        <w:right w:val="none" w:sz="0" w:space="0" w:color="auto"/>
      </w:divBdr>
      <w:divsChild>
        <w:div w:id="44567278">
          <w:marLeft w:val="0"/>
          <w:marRight w:val="0"/>
          <w:marTop w:val="0"/>
          <w:marBottom w:val="0"/>
          <w:divBdr>
            <w:top w:val="none" w:sz="0" w:space="0" w:color="auto"/>
            <w:left w:val="none" w:sz="0" w:space="0" w:color="auto"/>
            <w:bottom w:val="none" w:sz="0" w:space="0" w:color="auto"/>
            <w:right w:val="none" w:sz="0" w:space="0" w:color="auto"/>
          </w:divBdr>
        </w:div>
        <w:div w:id="521671788">
          <w:marLeft w:val="0"/>
          <w:marRight w:val="0"/>
          <w:marTop w:val="0"/>
          <w:marBottom w:val="0"/>
          <w:divBdr>
            <w:top w:val="none" w:sz="0" w:space="0" w:color="auto"/>
            <w:left w:val="none" w:sz="0" w:space="0" w:color="auto"/>
            <w:bottom w:val="none" w:sz="0" w:space="0" w:color="auto"/>
            <w:right w:val="none" w:sz="0" w:space="0" w:color="auto"/>
          </w:divBdr>
        </w:div>
        <w:div w:id="820268184">
          <w:marLeft w:val="0"/>
          <w:marRight w:val="0"/>
          <w:marTop w:val="0"/>
          <w:marBottom w:val="0"/>
          <w:divBdr>
            <w:top w:val="none" w:sz="0" w:space="0" w:color="auto"/>
            <w:left w:val="none" w:sz="0" w:space="0" w:color="auto"/>
            <w:bottom w:val="none" w:sz="0" w:space="0" w:color="auto"/>
            <w:right w:val="none" w:sz="0" w:space="0" w:color="auto"/>
          </w:divBdr>
        </w:div>
        <w:div w:id="1919172382">
          <w:marLeft w:val="0"/>
          <w:marRight w:val="0"/>
          <w:marTop w:val="0"/>
          <w:marBottom w:val="0"/>
          <w:divBdr>
            <w:top w:val="none" w:sz="0" w:space="0" w:color="auto"/>
            <w:left w:val="none" w:sz="0" w:space="0" w:color="auto"/>
            <w:bottom w:val="none" w:sz="0" w:space="0" w:color="auto"/>
            <w:right w:val="none" w:sz="0" w:space="0" w:color="auto"/>
          </w:divBdr>
        </w:div>
        <w:div w:id="1991325073">
          <w:marLeft w:val="0"/>
          <w:marRight w:val="0"/>
          <w:marTop w:val="0"/>
          <w:marBottom w:val="0"/>
          <w:divBdr>
            <w:top w:val="none" w:sz="0" w:space="0" w:color="auto"/>
            <w:left w:val="none" w:sz="0" w:space="0" w:color="auto"/>
            <w:bottom w:val="none" w:sz="0" w:space="0" w:color="auto"/>
            <w:right w:val="none" w:sz="0" w:space="0" w:color="auto"/>
          </w:divBdr>
        </w:div>
        <w:div w:id="2048020810">
          <w:marLeft w:val="0"/>
          <w:marRight w:val="0"/>
          <w:marTop w:val="0"/>
          <w:marBottom w:val="0"/>
          <w:divBdr>
            <w:top w:val="none" w:sz="0" w:space="0" w:color="auto"/>
            <w:left w:val="none" w:sz="0" w:space="0" w:color="auto"/>
            <w:bottom w:val="none" w:sz="0" w:space="0" w:color="auto"/>
            <w:right w:val="none" w:sz="0" w:space="0" w:color="auto"/>
          </w:divBdr>
        </w:div>
      </w:divsChild>
    </w:div>
    <w:div w:id="1764372114">
      <w:bodyDiv w:val="1"/>
      <w:marLeft w:val="0"/>
      <w:marRight w:val="0"/>
      <w:marTop w:val="0"/>
      <w:marBottom w:val="0"/>
      <w:divBdr>
        <w:top w:val="none" w:sz="0" w:space="0" w:color="auto"/>
        <w:left w:val="none" w:sz="0" w:space="0" w:color="auto"/>
        <w:bottom w:val="none" w:sz="0" w:space="0" w:color="auto"/>
        <w:right w:val="none" w:sz="0" w:space="0" w:color="auto"/>
      </w:divBdr>
      <w:divsChild>
        <w:div w:id="710569448">
          <w:marLeft w:val="0"/>
          <w:marRight w:val="0"/>
          <w:marTop w:val="0"/>
          <w:marBottom w:val="0"/>
          <w:divBdr>
            <w:top w:val="none" w:sz="0" w:space="0" w:color="auto"/>
            <w:left w:val="none" w:sz="0" w:space="0" w:color="auto"/>
            <w:bottom w:val="none" w:sz="0" w:space="0" w:color="auto"/>
            <w:right w:val="none" w:sz="0" w:space="0" w:color="auto"/>
          </w:divBdr>
        </w:div>
        <w:div w:id="88042764">
          <w:marLeft w:val="0"/>
          <w:marRight w:val="0"/>
          <w:marTop w:val="0"/>
          <w:marBottom w:val="0"/>
          <w:divBdr>
            <w:top w:val="none" w:sz="0" w:space="0" w:color="auto"/>
            <w:left w:val="none" w:sz="0" w:space="0" w:color="auto"/>
            <w:bottom w:val="none" w:sz="0" w:space="0" w:color="auto"/>
            <w:right w:val="none" w:sz="0" w:space="0" w:color="auto"/>
          </w:divBdr>
        </w:div>
        <w:div w:id="407535209">
          <w:marLeft w:val="0"/>
          <w:marRight w:val="0"/>
          <w:marTop w:val="0"/>
          <w:marBottom w:val="0"/>
          <w:divBdr>
            <w:top w:val="none" w:sz="0" w:space="0" w:color="auto"/>
            <w:left w:val="none" w:sz="0" w:space="0" w:color="auto"/>
            <w:bottom w:val="none" w:sz="0" w:space="0" w:color="auto"/>
            <w:right w:val="none" w:sz="0" w:space="0" w:color="auto"/>
          </w:divBdr>
        </w:div>
        <w:div w:id="687874847">
          <w:marLeft w:val="0"/>
          <w:marRight w:val="0"/>
          <w:marTop w:val="0"/>
          <w:marBottom w:val="0"/>
          <w:divBdr>
            <w:top w:val="none" w:sz="0" w:space="0" w:color="auto"/>
            <w:left w:val="none" w:sz="0" w:space="0" w:color="auto"/>
            <w:bottom w:val="none" w:sz="0" w:space="0" w:color="auto"/>
            <w:right w:val="none" w:sz="0" w:space="0" w:color="auto"/>
          </w:divBdr>
        </w:div>
        <w:div w:id="2132163336">
          <w:marLeft w:val="0"/>
          <w:marRight w:val="0"/>
          <w:marTop w:val="0"/>
          <w:marBottom w:val="0"/>
          <w:divBdr>
            <w:top w:val="none" w:sz="0" w:space="0" w:color="auto"/>
            <w:left w:val="none" w:sz="0" w:space="0" w:color="auto"/>
            <w:bottom w:val="none" w:sz="0" w:space="0" w:color="auto"/>
            <w:right w:val="none" w:sz="0" w:space="0" w:color="auto"/>
          </w:divBdr>
        </w:div>
        <w:div w:id="1217741474">
          <w:marLeft w:val="0"/>
          <w:marRight w:val="0"/>
          <w:marTop w:val="0"/>
          <w:marBottom w:val="0"/>
          <w:divBdr>
            <w:top w:val="none" w:sz="0" w:space="0" w:color="auto"/>
            <w:left w:val="none" w:sz="0" w:space="0" w:color="auto"/>
            <w:bottom w:val="none" w:sz="0" w:space="0" w:color="auto"/>
            <w:right w:val="none" w:sz="0" w:space="0" w:color="auto"/>
          </w:divBdr>
        </w:div>
      </w:divsChild>
    </w:div>
    <w:div w:id="1819029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tiff"/><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tiff"/><Relationship Id="rId4" Type="http://schemas.openxmlformats.org/officeDocument/2006/relationships/styles" Target="styles.xml"/><Relationship Id="rId9" Type="http://schemas.openxmlformats.org/officeDocument/2006/relationships/hyperlink" Target="https://people.epfl.ch/193294"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kumente%20und%20Einstellungen\LWylie\Lokale%20Einstellungen\Anwendungsdaten\Chemistry%20Add-in%20for%20Word\Chemistry%20Gallery\Chem4Wor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B4991C-846D-49EA-BEE6-5408586D13C2}">
  <ds:schemaRefs>
    <ds:schemaRef ds:uri="urn:schemas-microsoft-com.VSTO2008Demos.ControlsStorage"/>
  </ds:schemaRefs>
</ds:datastoreItem>
</file>

<file path=customXml/itemProps2.xml><?xml version="1.0" encoding="utf-8"?>
<ds:datastoreItem xmlns:ds="http://schemas.openxmlformats.org/officeDocument/2006/customXml" ds:itemID="{F2FFCBC0-A017-694F-9D3F-066E2F0CF5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C:\Dokumente und Einstellungen\LWylie\Lokale Einstellungen\Anwendungsdaten\Chemistry Add-in for Word\Chemistry Gallery\Chem4Word.dotx</Template>
  <TotalTime>0</TotalTime>
  <Pages>20</Pages>
  <Words>24551</Words>
  <Characters>139945</Characters>
  <Application>Microsoft Office Word</Application>
  <DocSecurity>0</DocSecurity>
  <Lines>1166</Lines>
  <Paragraphs>328</Paragraphs>
  <ScaleCrop>false</ScaleCrop>
  <HeadingPairs>
    <vt:vector size="8" baseType="variant">
      <vt:variant>
        <vt:lpstr>Title</vt:lpstr>
      </vt:variant>
      <vt:variant>
        <vt:i4>1</vt:i4>
      </vt:variant>
      <vt:variant>
        <vt:lpstr>Titolo</vt:lpstr>
      </vt:variant>
      <vt:variant>
        <vt:i4>1</vt:i4>
      </vt:variant>
      <vt:variant>
        <vt:lpstr>Título</vt:lpstr>
      </vt:variant>
      <vt:variant>
        <vt:i4>1</vt:i4>
      </vt:variant>
      <vt:variant>
        <vt:lpstr>Titel</vt:lpstr>
      </vt:variant>
      <vt:variant>
        <vt:i4>1</vt:i4>
      </vt:variant>
    </vt:vector>
  </HeadingPairs>
  <TitlesOfParts>
    <vt:vector size="4" baseType="lpstr">
      <vt:lpstr>DOI: 10</vt:lpstr>
      <vt:lpstr>DOI: 10</vt:lpstr>
      <vt:lpstr>DOI: 10</vt:lpstr>
      <vt:lpstr>DOI: 10</vt:lpstr>
    </vt:vector>
  </TitlesOfParts>
  <Company>WILEY-VCH Verlag GmbH &amp; Co. KGaA</Company>
  <LinksUpToDate>false</LinksUpToDate>
  <CharactersWithSpaces>164168</CharactersWithSpaces>
  <SharedDoc>false</SharedDoc>
  <HLinks>
    <vt:vector size="6" baseType="variant">
      <vt:variant>
        <vt:i4>2031686</vt:i4>
      </vt:variant>
      <vt:variant>
        <vt:i4>0</vt:i4>
      </vt:variant>
      <vt:variant>
        <vt:i4>0</vt:i4>
      </vt:variant>
      <vt:variant>
        <vt:i4>5</vt:i4>
      </vt:variant>
      <vt:variant>
        <vt:lpwstr>https://people.epfl.ch/193294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DOI: 10</dc:title>
  <dc:subject/>
  <dc:creator>ABoeer</dc:creator>
  <cp:keywords/>
  <cp:lastModifiedBy>Valentin Queloz</cp:lastModifiedBy>
  <cp:revision>3</cp:revision>
  <cp:lastPrinted>2010-04-21T16:22:00Z</cp:lastPrinted>
  <dcterms:created xsi:type="dcterms:W3CDTF">2020-12-03T16:19:00Z</dcterms:created>
  <dcterms:modified xsi:type="dcterms:W3CDTF">2020-12-03T16:19:00Z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zotero-version="4.0.29.10"&gt;&lt;session id="gZgeUai3"/&gt;&lt;style id="http://www.zotero.org/styles/advanced-materials" hasBibliography="1" bibliographyStyleHasBeenSet="1"/&gt;&lt;prefs&gt;&lt;pref name="fieldType" value="Field"/&gt;&lt;pref name="storeRefere</vt:lpwstr>
  </property>
  <property fmtid="{D5CDD505-2E9C-101B-9397-08002B2CF9AE}" pid="3" name="ZOTERO_PREF_2">
    <vt:lpwstr>nces" value="true"/&gt;&lt;pref name="automaticJournalAbbreviations" value="true"/&gt;&lt;pref name="noteType" value=""/&gt;&lt;/prefs&gt;&lt;/data&gt;</vt:lpwstr>
  </property>
</Properties>
</file>