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8"/>
          <w:szCs w:val="28"/>
        </w:rPr>
      </w:pPr>
      <w:r>
        <w:rPr>
          <w:rFonts w:ascii="Times New Roman" w:hAnsi="Times New Roman"/>
          <w:b/>
          <w:bCs/>
          <w:sz w:val="28"/>
          <w:szCs w:val="28"/>
        </w:rPr>
        <w:t>EEG paradigms as a supplemental tool to behavioral assessments of DOC</w:t>
      </w:r>
    </w:p>
    <w:p>
      <w:pPr>
        <w:pStyle w:val="Normal"/>
        <w:jc w:val="center"/>
        <w:rPr/>
      </w:pPr>
      <w:r>
        <w:rPr>
          <w:rFonts w:ascii="Times New Roman" w:hAnsi="Times New Roman"/>
        </w:rPr>
        <w:t>S. Perdikis</w:t>
      </w:r>
      <w:r>
        <w:rPr>
          <w:rFonts w:ascii="Times New Roman" w:hAnsi="Times New Roman"/>
          <w:vertAlign w:val="superscript"/>
        </w:rPr>
        <w:t>1</w:t>
      </w:r>
      <w:r>
        <w:rPr>
          <w:rFonts w:ascii="Times New Roman" w:hAnsi="Times New Roman"/>
        </w:rPr>
        <w:t>, J. P. Noel</w:t>
      </w:r>
      <w:r>
        <w:rPr>
          <w:rFonts w:ascii="Times New Roman" w:hAnsi="Times New Roman"/>
          <w:vertAlign w:val="superscript"/>
        </w:rPr>
        <w:t>2</w:t>
      </w:r>
      <w:r>
        <w:rPr>
          <w:rFonts w:ascii="Times New Roman" w:hAnsi="Times New Roman"/>
        </w:rPr>
        <w:t>, M. Silva</w:t>
      </w:r>
      <w:bookmarkStart w:id="0" w:name="__DdeLink__166_2043357598"/>
      <w:r>
        <w:rPr>
          <w:rFonts w:ascii="Times New Roman" w:hAnsi="Times New Roman"/>
          <w:vertAlign w:val="superscript"/>
        </w:rPr>
        <w:t>3</w:t>
      </w:r>
      <w:bookmarkEnd w:id="0"/>
      <w:r>
        <w:rPr>
          <w:rFonts w:ascii="Times New Roman" w:hAnsi="Times New Roman"/>
        </w:rPr>
        <w:t>, C. Chatelle</w:t>
      </w:r>
      <w:r>
        <w:rPr>
          <w:rFonts w:ascii="Times New Roman" w:hAnsi="Times New Roman"/>
          <w:vertAlign w:val="superscript"/>
        </w:rPr>
        <w:t>4,5</w:t>
      </w:r>
      <w:r>
        <w:rPr>
          <w:rFonts w:ascii="Times New Roman" w:hAnsi="Times New Roman"/>
        </w:rPr>
        <w:t>, J. Jöhr</w:t>
      </w:r>
      <w:r>
        <w:rPr>
          <w:rFonts w:ascii="Times New Roman" w:hAnsi="Times New Roman"/>
          <w:vertAlign w:val="superscript"/>
        </w:rPr>
        <w:t>3</w:t>
      </w:r>
      <w:r>
        <w:rPr>
          <w:rFonts w:ascii="Times New Roman" w:hAnsi="Times New Roman"/>
        </w:rPr>
        <w:t>, A. Pincherlé</w:t>
      </w:r>
      <w:r>
        <w:rPr>
          <w:rFonts w:ascii="Times New Roman" w:hAnsi="Times New Roman"/>
          <w:vertAlign w:val="superscript"/>
        </w:rPr>
        <w:t>3</w:t>
      </w:r>
      <w:r>
        <w:rPr>
          <w:rFonts w:ascii="Times New Roman" w:hAnsi="Times New Roman"/>
        </w:rPr>
        <w:t>, J. M. Pignat</w:t>
      </w:r>
      <w:r>
        <w:rPr>
          <w:rFonts w:ascii="Times New Roman" w:hAnsi="Times New Roman"/>
          <w:vertAlign w:val="superscript"/>
        </w:rPr>
        <w:t>6</w:t>
      </w:r>
      <w:r>
        <w:rPr>
          <w:rFonts w:ascii="Times New Roman" w:hAnsi="Times New Roman"/>
        </w:rPr>
        <w:t>, J. del R. Millán</w:t>
      </w:r>
      <w:r>
        <w:rPr>
          <w:rFonts w:ascii="Times New Roman" w:hAnsi="Times New Roman"/>
          <w:vertAlign w:val="superscript"/>
        </w:rPr>
        <w:t>1</w:t>
      </w:r>
      <w:r>
        <w:rPr>
          <w:rFonts w:ascii="Times New Roman" w:hAnsi="Times New Roman"/>
        </w:rPr>
        <w:t>, A. Serino</w:t>
      </w:r>
      <w:r>
        <w:rPr>
          <w:rFonts w:ascii="Times New Roman" w:hAnsi="Times New Roman"/>
          <w:vertAlign w:val="superscript"/>
        </w:rPr>
        <w:t>7</w:t>
      </w:r>
      <w:r>
        <w:rPr>
          <w:rFonts w:ascii="Times New Roman" w:hAnsi="Times New Roman"/>
        </w:rPr>
        <w:t>, K. Diserens</w:t>
      </w:r>
      <w:r>
        <w:rPr>
          <w:rFonts w:ascii="Times New Roman" w:hAnsi="Times New Roman"/>
          <w:vertAlign w:val="superscript"/>
        </w:rPr>
        <w:t>3</w:t>
      </w:r>
    </w:p>
    <w:p>
      <w:pPr>
        <w:pStyle w:val="Normal"/>
        <w:rPr>
          <w:rFonts w:ascii="Times New Roman" w:hAnsi="Times New Roman"/>
          <w:sz w:val="20"/>
          <w:szCs w:val="20"/>
          <w:vertAlign w:val="superscript"/>
        </w:rPr>
      </w:pPr>
      <w:r>
        <w:rPr>
          <w:rFonts w:ascii="Times New Roman" w:hAnsi="Times New Roman"/>
          <w:sz w:val="20"/>
          <w:szCs w:val="20"/>
          <w:vertAlign w:val="superscript"/>
        </w:rPr>
      </w:r>
    </w:p>
    <w:p>
      <w:pPr>
        <w:pStyle w:val="Normal"/>
        <w:rPr>
          <w:rFonts w:ascii="Times New Roman" w:hAnsi="Times New Roman"/>
          <w:sz w:val="20"/>
          <w:szCs w:val="20"/>
          <w:vertAlign w:val="superscript"/>
        </w:rPr>
      </w:pPr>
      <w:r>
        <w:rPr>
          <w:rFonts w:ascii="Times New Roman" w:hAnsi="Times New Roman"/>
          <w:sz w:val="20"/>
          <w:szCs w:val="20"/>
          <w:vertAlign w:val="superscript"/>
        </w:rPr>
        <w:t>1</w:t>
      </w:r>
      <w:r>
        <w:rPr>
          <w:rFonts w:ascii="Times New Roman" w:hAnsi="Times New Roman"/>
          <w:sz w:val="20"/>
          <w:szCs w:val="20"/>
        </w:rPr>
        <w:t>Defitech Chair in Brain-Machine Interface, École Polytechnique Fédérale de Lausanne (EPFL), Geneva, Switzerland</w:t>
      </w:r>
    </w:p>
    <w:p>
      <w:pPr>
        <w:pStyle w:val="Normal"/>
        <w:rPr>
          <w:rFonts w:ascii="Times New Roman" w:hAnsi="Times New Roman"/>
          <w:sz w:val="20"/>
          <w:szCs w:val="20"/>
        </w:rPr>
      </w:pPr>
      <w:r>
        <w:rPr>
          <w:rFonts w:ascii="Times New Roman" w:hAnsi="Times New Roman"/>
          <w:sz w:val="20"/>
          <w:szCs w:val="20"/>
          <w:vertAlign w:val="superscript"/>
        </w:rPr>
        <w:t>2</w:t>
      </w:r>
      <w:r>
        <w:rPr>
          <w:rFonts w:ascii="Times New Roman" w:hAnsi="Times New Roman"/>
          <w:sz w:val="20"/>
          <w:szCs w:val="20"/>
        </w:rPr>
        <w:t>Vanderbilt Brain Institute, Vanderbilt University, Nashville, TN, USA</w:t>
      </w:r>
    </w:p>
    <w:p>
      <w:pPr>
        <w:pStyle w:val="Normal"/>
        <w:rPr/>
      </w:pPr>
      <w:r>
        <w:rPr>
          <w:rFonts w:ascii="Times New Roman" w:hAnsi="Times New Roman"/>
          <w:sz w:val="20"/>
          <w:szCs w:val="20"/>
          <w:vertAlign w:val="superscript"/>
        </w:rPr>
        <w:t>3</w:t>
      </w:r>
      <w:r>
        <w:rPr>
          <w:rFonts w:ascii="Times New Roman" w:hAnsi="Times New Roman"/>
          <w:sz w:val="20"/>
          <w:szCs w:val="20"/>
        </w:rPr>
        <w:t>Acute Neurorehabilitation Unit, Division of Neurology, Department of Clinical Neurosciences, University Hospital of Lausanne, Switzerland</w:t>
      </w:r>
    </w:p>
    <w:p>
      <w:pPr>
        <w:pStyle w:val="Normal"/>
        <w:rPr>
          <w:rFonts w:ascii="Times New Roman" w:hAnsi="Times New Roman"/>
          <w:sz w:val="20"/>
          <w:szCs w:val="20"/>
        </w:rPr>
      </w:pPr>
      <w:r>
        <w:rPr>
          <w:rFonts w:ascii="Times New Roman" w:hAnsi="Times New Roman"/>
          <w:sz w:val="20"/>
          <w:szCs w:val="20"/>
          <w:vertAlign w:val="superscript"/>
        </w:rPr>
        <w:t>4</w:t>
      </w:r>
      <w:r>
        <w:rPr>
          <w:rFonts w:ascii="Times New Roman" w:hAnsi="Times New Roman"/>
          <w:sz w:val="20"/>
          <w:szCs w:val="20"/>
        </w:rPr>
        <w:t>Laboratory for NeuroImaging of Coma and Consciousness, Massachusetts General Hospital, Boston, MA, USA</w:t>
      </w:r>
    </w:p>
    <w:p>
      <w:pPr>
        <w:pStyle w:val="Normal"/>
        <w:rPr/>
      </w:pPr>
      <w:r>
        <w:rPr>
          <w:rFonts w:ascii="Times New Roman" w:hAnsi="Times New Roman"/>
          <w:sz w:val="20"/>
          <w:szCs w:val="20"/>
          <w:vertAlign w:val="superscript"/>
        </w:rPr>
        <w:t>5</w:t>
      </w:r>
      <w:r>
        <w:rPr>
          <w:rFonts w:cs="Times New Roman" w:ascii="Times New Roman" w:hAnsi="Times New Roman"/>
          <w:sz w:val="20"/>
          <w:szCs w:val="20"/>
        </w:rPr>
        <w:t>Coma Science Group, GIGA Consciousness, University of Liège, Belgium</w:t>
      </w:r>
    </w:p>
    <w:p>
      <w:pPr>
        <w:pStyle w:val="Normal"/>
        <w:rPr/>
      </w:pPr>
      <w:r>
        <w:rPr>
          <w:rFonts w:cs="Times New Roman" w:ascii="Times New Roman" w:hAnsi="Times New Roman"/>
          <w:sz w:val="20"/>
          <w:szCs w:val="20"/>
          <w:vertAlign w:val="superscript"/>
        </w:rPr>
        <w:t>6</w:t>
      </w:r>
      <w:r>
        <w:rPr>
          <w:rFonts w:cs="Times New Roman" w:ascii="Times New Roman" w:hAnsi="Times New Roman"/>
          <w:sz w:val="20"/>
          <w:szCs w:val="20"/>
        </w:rPr>
        <w:t>Divsion of Neurorehabilitation and Neuropsychology, Departement of Clinical Neurosciences, University Hospital of Lausanne, Switzerland</w:t>
      </w:r>
    </w:p>
    <w:p>
      <w:pPr>
        <w:pStyle w:val="Normal"/>
        <w:rPr/>
      </w:pPr>
      <w:r>
        <w:rPr>
          <w:rFonts w:ascii="Times New Roman" w:hAnsi="Times New Roman"/>
          <w:sz w:val="20"/>
          <w:szCs w:val="20"/>
          <w:vertAlign w:val="superscript"/>
        </w:rPr>
        <w:t>7</w:t>
      </w:r>
      <w:r>
        <w:rPr>
          <w:rFonts w:ascii="Times New Roman" w:hAnsi="Times New Roman"/>
          <w:sz w:val="20"/>
          <w:szCs w:val="20"/>
        </w:rPr>
        <w:t>Laboratory MySpace, University Hospital of Lausanne (CHUV), Switzerland</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b/>
          <w:b/>
          <w:bCs/>
          <w:sz w:val="28"/>
          <w:szCs w:val="28"/>
        </w:rPr>
      </w:pPr>
      <w:r>
        <w:rPr>
          <w:rFonts w:ascii="Times New Roman" w:hAnsi="Times New Roman"/>
          <w:b/>
          <w:bCs/>
          <w:sz w:val="28"/>
          <w:szCs w:val="28"/>
        </w:rPr>
        <w:t>Introduction</w:t>
      </w:r>
    </w:p>
    <w:p>
      <w:pPr>
        <w:pStyle w:val="Normal"/>
        <w:rPr>
          <w:rFonts w:ascii="Times New Roman" w:hAnsi="Times New Roman"/>
        </w:rPr>
      </w:pPr>
      <w:r>
        <w:rPr>
          <w:rFonts w:ascii="Times New Roman" w:hAnsi="Times New Roman"/>
        </w:rPr>
      </w:r>
    </w:p>
    <w:p>
      <w:pPr>
        <w:pStyle w:val="Normal"/>
        <w:rPr/>
      </w:pPr>
      <w:r>
        <w:rPr>
          <w:rFonts w:ascii="Times New Roman" w:hAnsi="Times New Roman"/>
        </w:rPr>
        <w:t>Diagnosis and prediction of recovery in the acute phase of disorders of consciousness (DOC) are critical for subsequent medical decisions. However, reliable assessment remains elusive due to the inability of current validated clinical scales to take into account motor and drive deficits. Recently, the Motor Behaviour Tool (MBT), a novel clinical scale, has been developed to address this caveat (1). In this context, neuroimaging and brain-computer interface (BCI) have also</w:t>
      </w:r>
      <w:r>
        <w:rPr>
          <w:rFonts w:cs="Times New Roman" w:ascii="Times New Roman" w:hAnsi="Times New Roman"/>
        </w:rPr>
        <w:t xml:space="preserve"> been proposed to improve the diagnosis and prognosis of these patients.(2)</w:t>
      </w:r>
      <w:r>
        <w:rPr>
          <w:rFonts w:ascii="Times New Roman" w:hAnsi="Times New Roman"/>
        </w:rPr>
        <w:t>.</w:t>
      </w:r>
    </w:p>
    <w:p>
      <w:pPr>
        <w:pStyle w:val="Normal"/>
        <w:rPr>
          <w:rFonts w:ascii="Times New Roman" w:hAnsi="Times New Roman"/>
        </w:rPr>
      </w:pPr>
      <w:r>
        <w:rPr>
          <w:rFonts w:ascii="Times New Roman" w:hAnsi="Times New Roman"/>
        </w:rPr>
      </w:r>
    </w:p>
    <w:p>
      <w:pPr>
        <w:pStyle w:val="Normal"/>
        <w:rPr>
          <w:rFonts w:ascii="Times New Roman" w:hAnsi="Times New Roman"/>
          <w:b/>
          <w:b/>
          <w:bCs/>
          <w:sz w:val="28"/>
          <w:szCs w:val="28"/>
        </w:rPr>
      </w:pPr>
      <w:r>
        <w:rPr>
          <w:rFonts w:ascii="Times New Roman" w:hAnsi="Times New Roman"/>
          <w:b/>
          <w:bCs/>
          <w:sz w:val="28"/>
          <w:szCs w:val="28"/>
        </w:rPr>
        <w:t>Objectives</w:t>
      </w:r>
    </w:p>
    <w:p>
      <w:pPr>
        <w:pStyle w:val="Normal"/>
        <w:rPr>
          <w:rFonts w:ascii="Times New Roman" w:hAnsi="Times New Roman"/>
          <w:b/>
          <w:b/>
          <w:bCs/>
          <w:sz w:val="28"/>
          <w:szCs w:val="28"/>
        </w:rPr>
      </w:pPr>
      <w:r>
        <w:rPr>
          <w:rFonts w:ascii="Times New Roman" w:hAnsi="Times New Roman"/>
          <w:b/>
          <w:bCs/>
          <w:sz w:val="28"/>
          <w:szCs w:val="28"/>
        </w:rPr>
      </w:r>
    </w:p>
    <w:p>
      <w:pPr>
        <w:pStyle w:val="Normal"/>
        <w:rPr/>
      </w:pPr>
      <w:r>
        <w:rPr>
          <w:rFonts w:cs="Times New Roman" w:ascii="Times New Roman" w:hAnsi="Times New Roman"/>
        </w:rPr>
        <w:t>This pilot study aims to investigate the diagnostic and prognostic value of two electroencephalography (EEG)-based paradigms in patients with DOC, i.e., coma, Unresponsive Awareness Syndrome (UWS) or Minimally Conscious State (MCS)</w:t>
      </w:r>
      <w:r>
        <w:rPr>
          <w:rFonts w:ascii="Times New Roman" w:hAnsi="Times New Roman"/>
        </w:rPr>
        <w:t xml:space="preserve">. As a second step, we will employ them as evidence to further establish the added value of the MBT </w:t>
      </w:r>
      <w:r>
        <w:rPr>
          <w:rFonts w:cs="Times New Roman" w:ascii="Times New Roman" w:hAnsi="Times New Roman"/>
        </w:rPr>
        <w:t>(i.e., assessment of minimal responses suggesting remaining conscious processing) combined with the Coma Recovery Scale-Revised (CRS-R), a standardized validated scale commonly used to assess consciousness in this population (3)</w:t>
      </w:r>
      <w:r>
        <w:rPr>
          <w:rFonts w:ascii="Times New Roman" w:hAnsi="Times New Roman"/>
        </w:rPr>
        <w:t>.</w:t>
      </w:r>
    </w:p>
    <w:p>
      <w:pPr>
        <w:pStyle w:val="Normal"/>
        <w:rPr>
          <w:rFonts w:ascii="Times New Roman" w:hAnsi="Times New Roman"/>
          <w:b/>
          <w:b/>
          <w:bCs/>
          <w:sz w:val="28"/>
          <w:szCs w:val="28"/>
        </w:rPr>
      </w:pPr>
      <w:r>
        <w:rPr>
          <w:rFonts w:ascii="Times New Roman" w:hAnsi="Times New Roman"/>
          <w:b/>
          <w:bCs/>
          <w:sz w:val="28"/>
          <w:szCs w:val="28"/>
        </w:rPr>
      </w:r>
    </w:p>
    <w:p>
      <w:pPr>
        <w:pStyle w:val="Normal"/>
        <w:rPr/>
      </w:pPr>
      <w:r>
        <w:rPr>
          <w:rFonts w:ascii="Times New Roman" w:hAnsi="Times New Roman"/>
          <w:b/>
          <w:bCs/>
          <w:sz w:val="28"/>
          <w:szCs w:val="28"/>
        </w:rPr>
        <w:t>Patients &amp; Methods</w:t>
      </w:r>
    </w:p>
    <w:p>
      <w:pPr>
        <w:pStyle w:val="Normal"/>
        <w:rPr>
          <w:rFonts w:ascii="Times New Roman" w:hAnsi="Times New Roman"/>
          <w:b/>
          <w:b/>
          <w:bCs/>
          <w:sz w:val="28"/>
          <w:szCs w:val="28"/>
        </w:rPr>
      </w:pPr>
      <w:r>
        <w:rPr>
          <w:rFonts w:ascii="Times New Roman" w:hAnsi="Times New Roman"/>
          <w:b/>
          <w:bCs/>
          <w:sz w:val="28"/>
          <w:szCs w:val="28"/>
        </w:rPr>
      </w:r>
    </w:p>
    <w:p>
      <w:pPr>
        <w:pStyle w:val="Normal"/>
        <w:rPr/>
      </w:pPr>
      <w:r>
        <w:rPr>
          <w:rFonts w:ascii="Times New Roman" w:hAnsi="Times New Roman"/>
        </w:rPr>
        <w:t>Acute DOC patients undergo CRS-R and MBT assessment prior to two EEG paradigms. Firstly, a motor attempt EEG-BCI coupled with Functional Electrical Stimulation (FES) is used (4). We hypothesize that replacing the need for overt movements with motor attempt can alleviate the tendency of CRS-R to underestimate the level of awareness in case of cognitive-motor dissociation (CMD) (5). In addition, a second</w:t>
      </w:r>
      <w:r>
        <w:rPr>
          <w:rFonts w:cs="Arial" w:ascii="Times New Roman" w:hAnsi="Times New Roman"/>
        </w:rPr>
        <w:t xml:space="preserve"> EEG protocol presents patients with FES-tactile (T), auditory (A), and audio-tactile (AT) stimuli both in actionable and non-actionable space. EEG evoked potentials observed in the actionable space are expected to show a non-linear addition of sensory stimuli (i.e., A+T ≠ AT) indicating multisensory integration and the capacity of conscious processing (6).</w:t>
      </w:r>
    </w:p>
    <w:p>
      <w:pPr>
        <w:pStyle w:val="Normal"/>
        <w:rPr>
          <w:rFonts w:ascii="Times New Roman" w:hAnsi="Times New Roman" w:cs="Arial"/>
        </w:rPr>
      </w:pPr>
      <w:r>
        <w:rPr>
          <w:rFonts w:cs="Arial" w:ascii="Times New Roman" w:hAnsi="Times New Roman"/>
        </w:rPr>
      </w:r>
    </w:p>
    <w:p>
      <w:pPr>
        <w:pStyle w:val="Normal"/>
        <w:rPr/>
      </w:pPr>
      <w:r>
        <w:rPr>
          <w:rFonts w:ascii="Times New Roman" w:hAnsi="Times New Roman"/>
          <w:b/>
          <w:bCs/>
          <w:sz w:val="28"/>
          <w:szCs w:val="28"/>
        </w:rPr>
        <w:t>Results</w:t>
      </w:r>
    </w:p>
    <w:p>
      <w:pPr>
        <w:pStyle w:val="Normal"/>
        <w:rPr>
          <w:rFonts w:ascii="Times New Roman" w:hAnsi="Times New Roman"/>
        </w:rPr>
      </w:pPr>
      <w:r>
        <w:rPr>
          <w:rFonts w:ascii="Times New Roman" w:hAnsi="Times New Roman"/>
        </w:rPr>
      </w:r>
    </w:p>
    <w:p>
      <w:pPr>
        <w:pStyle w:val="Normal"/>
        <w:rPr/>
      </w:pPr>
      <w:r>
        <w:rPr>
          <w:rFonts w:ascii="Times New Roman" w:hAnsi="Times New Roman"/>
        </w:rPr>
        <w:t xml:space="preserve">Pending elaborate analysis, preliminary findings show </w:t>
      </w:r>
      <w:r>
        <w:rPr>
          <w:rFonts w:ascii="Times New Roman" w:hAnsi="Times New Roman"/>
        </w:rPr>
        <w:t xml:space="preserve">(Fig. 1) </w:t>
      </w:r>
      <w:r>
        <w:rPr>
          <w:rFonts w:ascii="Times New Roman" w:hAnsi="Times New Roman"/>
        </w:rPr>
        <w:t>that BCI accuracy is significantly above chance only for a patient who was diagnos</w:t>
      </w:r>
      <w:r>
        <w:rPr>
          <w:rFonts w:ascii="Times New Roman" w:hAnsi="Times New Roman"/>
        </w:rPr>
        <w:t>ed as UWS by the CRS-R evaluation, but exhibited a motor behavior classified as CMD confirmed by the MBT tool, and not for one in real UWS (same diagnosis based on CRS-R and MBT), implyin</w:t>
      </w:r>
      <w:r>
        <w:rPr>
          <w:rFonts w:ascii="Times New Roman" w:hAnsi="Times New Roman"/>
        </w:rPr>
        <w:t xml:space="preserve">g the presence of the hypothesized relation between motor EEG correlates and awareness (7). Average </w:t>
      </w:r>
      <w:r>
        <w:rPr>
          <w:rFonts w:cs="Times New Roman" w:ascii="Times New Roman" w:hAnsi="Times New Roman"/>
        </w:rPr>
        <w:t>EEG evoked potentials of 8 patients during the second EEG paradigm highlight a difference between within (solid line) vs. outside (dashed line) the actionable space (Fig. 2)</w:t>
      </w:r>
      <w:r>
        <w:rPr>
          <w:rFonts w:ascii="Times New Roman" w:hAnsi="Times New Roman"/>
        </w:rPr>
        <w:t>, suggesting awareness-dependent modulation. Future analyses will explore correlations of such EEG descriptors with the clinical outcomes.</w:t>
      </w:r>
    </w:p>
    <w:p>
      <w:pPr>
        <w:pStyle w:val="Normal"/>
        <w:rPr>
          <w:rFonts w:ascii="Times New Roman" w:hAnsi="Times New Roman"/>
        </w:rPr>
      </w:pPr>
      <w:r>
        <w:rPr>
          <w:rFonts w:ascii="Times New Roman" w:hAnsi="Times New Roman"/>
        </w:rPr>
      </w:r>
    </w:p>
    <w:p>
      <w:pPr>
        <w:pStyle w:val="Normal"/>
        <w:rPr>
          <w:rFonts w:ascii="Times New Roman" w:hAnsi="Times New Roman"/>
          <w:b/>
          <w:b/>
          <w:bCs/>
          <w:sz w:val="28"/>
          <w:szCs w:val="28"/>
        </w:rPr>
      </w:pPr>
      <w:r>
        <w:rPr>
          <w:rFonts w:ascii="Times New Roman" w:hAnsi="Times New Roman"/>
          <w:b/>
          <w:bCs/>
          <w:sz w:val="28"/>
          <w:szCs w:val="28"/>
        </w:rPr>
        <w:t>Conclusion</w:t>
      </w:r>
    </w:p>
    <w:p>
      <w:pPr>
        <w:pStyle w:val="Normal"/>
        <w:rPr>
          <w:rFonts w:ascii="Times New Roman" w:hAnsi="Times New Roman"/>
        </w:rPr>
      </w:pPr>
      <w:r>
        <w:rPr>
          <w:rFonts w:ascii="Times New Roman" w:hAnsi="Times New Roman"/>
        </w:rPr>
      </w:r>
    </w:p>
    <w:p>
      <w:pPr>
        <w:pStyle w:val="Normal"/>
        <w:rPr/>
      </w:pPr>
      <w:r>
        <w:rPr>
          <w:rFonts w:ascii="Times New Roman" w:hAnsi="Times New Roman"/>
        </w:rPr>
        <w:t>EEG correlates extracted from these EEG paradigms are promising tools for diagnosis of DOC and may supplement current clinical scales to help the validation of new tools like the MBT.</w:t>
      </w:r>
    </w:p>
    <w:p>
      <w:pPr>
        <w:pStyle w:val="Normal"/>
        <w:rPr>
          <w:rFonts w:ascii="Times New Roman" w:hAnsi="Times New Roman"/>
          <w:b/>
          <w:b/>
          <w:bCs/>
          <w:sz w:val="28"/>
          <w:szCs w:val="28"/>
        </w:rPr>
      </w:pPr>
      <w:r>
        <w:rPr>
          <w:rFonts w:ascii="Times New Roman" w:hAnsi="Times New Roman"/>
          <w:b/>
          <w:bCs/>
          <w:sz w:val="28"/>
          <w:szCs w:val="28"/>
        </w:rPr>
      </w:r>
    </w:p>
    <w:p>
      <w:pPr>
        <w:pStyle w:val="Normal"/>
        <w:rPr/>
      </w:pPr>
      <w:r>
        <w:rPr>
          <w:rFonts w:ascii="Times New Roman" w:hAnsi="Times New Roman"/>
          <w:b/>
          <w:bCs/>
          <w:sz w:val="28"/>
          <w:szCs w:val="28"/>
        </w:rPr>
        <w:t>References</w:t>
      </w:r>
    </w:p>
    <w:p>
      <w:pPr>
        <w:pStyle w:val="Bibliography"/>
        <w:rPr/>
      </w:pPr>
      <w:r>
        <w:rPr>
          <w:rFonts w:ascii="Times New Roman" w:hAnsi="Times New Roman"/>
          <w:szCs w:val="20"/>
        </w:rPr>
        <w:t xml:space="preserve">1. J. M. </w:t>
      </w:r>
      <w:r>
        <w:rPr>
          <w:rFonts w:ascii="Times New Roman" w:hAnsi="Times New Roman"/>
        </w:rPr>
        <w:t xml:space="preserve">Pignat, E. Mauron, J. Jöhr, C. Gilart De Keranflec'h, D. Van De Ville, M. G. Preti, D. E. Meskaldji, V. Hörnberg, S. Laureys, B. Draganski, R. Frackowiak, K. Diserens, Outcome prediction of consciousness disorders in the acute stage based on a complementary motor behavioural tool, </w:t>
      </w:r>
      <w:r>
        <w:rPr>
          <w:rFonts w:ascii="Times New Roman" w:hAnsi="Times New Roman"/>
          <w:i/>
          <w:iCs/>
        </w:rPr>
        <w:t>PLOS ONE</w:t>
      </w:r>
      <w:r>
        <w:rPr>
          <w:rFonts w:ascii="Times New Roman" w:hAnsi="Times New Roman"/>
        </w:rPr>
        <w:t xml:space="preserve"> 11(6), e0156882 (2016).</w:t>
      </w:r>
    </w:p>
    <w:p>
      <w:pPr>
        <w:pStyle w:val="Bibliography"/>
        <w:rPr/>
      </w:pPr>
      <w:r>
        <w:rPr>
          <w:rFonts w:ascii="Times New Roman" w:hAnsi="Times New Roman"/>
          <w:szCs w:val="20"/>
        </w:rPr>
        <w:t xml:space="preserve">2. A. M. Owen, M. R. Coleman, M. Boly, M. H. Davis, S. Laureys, J. D. Pickard, Detecting awareness in the vegetative state, </w:t>
      </w:r>
      <w:r>
        <w:rPr>
          <w:rFonts w:ascii="Times New Roman" w:hAnsi="Times New Roman"/>
          <w:i/>
          <w:iCs/>
          <w:szCs w:val="20"/>
        </w:rPr>
        <w:t>Science</w:t>
      </w:r>
      <w:r>
        <w:rPr>
          <w:rFonts w:ascii="Times New Roman" w:hAnsi="Times New Roman"/>
          <w:szCs w:val="20"/>
        </w:rPr>
        <w:t>, 313, 1402 (2006).</w:t>
      </w:r>
    </w:p>
    <w:p>
      <w:pPr>
        <w:pStyle w:val="Normal"/>
        <w:spacing w:before="0" w:after="60"/>
        <w:rPr/>
      </w:pPr>
      <w:r>
        <w:rPr>
          <w:rFonts w:ascii="Times New Roman" w:hAnsi="Times New Roman"/>
          <w:sz w:val="20"/>
          <w:szCs w:val="20"/>
        </w:rPr>
        <w:t>3. J. T. Giacino, K. Kalmar, J. Whyte, The JFK Coma Recovery Scale-Revised: measurement characteristics and diagnostic utility, Arch. Phys. Med. Rehabil. 85(12), 2020-9 (2004).</w:t>
      </w:r>
    </w:p>
    <w:p>
      <w:pPr>
        <w:pStyle w:val="Normal"/>
        <w:spacing w:before="0" w:after="60"/>
        <w:rPr/>
      </w:pPr>
      <w:r>
        <w:rPr>
          <w:rFonts w:ascii="Times New Roman" w:hAnsi="Times New Roman"/>
          <w:sz w:val="20"/>
          <w:szCs w:val="20"/>
        </w:rPr>
        <w:t>4. T. Corbet, R. Leeb, A. Biasiucci, S. Perdikis, J. del R. Millán et al. BCI-NMES therapy enhances effective connectivity in the damaged hemisphere in stroke patients. 6th International Brain-Computer Interface Meeting, Asilomar, California, USA (2016).</w:t>
      </w:r>
    </w:p>
    <w:p>
      <w:pPr>
        <w:pStyle w:val="Normal"/>
        <w:spacing w:before="0" w:after="60"/>
        <w:rPr/>
      </w:pPr>
      <w:r>
        <w:rPr>
          <w:rFonts w:ascii="Times New Roman" w:hAnsi="Times New Roman"/>
          <w:sz w:val="20"/>
          <w:szCs w:val="20"/>
        </w:rPr>
        <w:t xml:space="preserve">5. N. D. Schiff, Cognitive motor dissociation following severe brain injuries, </w:t>
      </w:r>
      <w:r>
        <w:rPr>
          <w:rStyle w:val="Emphasis"/>
          <w:rFonts w:ascii="Times New Roman" w:hAnsi="Times New Roman"/>
          <w:sz w:val="20"/>
          <w:szCs w:val="20"/>
        </w:rPr>
        <w:t xml:space="preserve">JAMA Neurol. </w:t>
      </w:r>
      <w:r>
        <w:rPr>
          <w:rStyle w:val="Emphasis"/>
          <w:rFonts w:ascii="Times New Roman" w:hAnsi="Times New Roman"/>
          <w:i w:val="false"/>
          <w:iCs w:val="false"/>
          <w:sz w:val="20"/>
          <w:szCs w:val="20"/>
        </w:rPr>
        <w:t>72</w:t>
      </w:r>
      <w:r>
        <w:rPr>
          <w:rFonts w:ascii="Times New Roman" w:hAnsi="Times New Roman"/>
          <w:sz w:val="20"/>
          <w:szCs w:val="20"/>
        </w:rPr>
        <w:t xml:space="preserve">(12), 1413–1415 (2015). </w:t>
      </w:r>
    </w:p>
    <w:p>
      <w:pPr>
        <w:pStyle w:val="Normal"/>
        <w:spacing w:before="0" w:after="60"/>
        <w:rPr/>
      </w:pPr>
      <w:r>
        <w:rPr>
          <w:rFonts w:ascii="Times New Roman" w:hAnsi="Times New Roman"/>
          <w:sz w:val="20"/>
          <w:szCs w:val="20"/>
        </w:rPr>
        <w:t xml:space="preserve">6. J. P. </w:t>
      </w:r>
      <w:r>
        <w:rPr>
          <w:rFonts w:cs="Arial" w:ascii="Times New Roman" w:hAnsi="Times New Roman"/>
          <w:sz w:val="20"/>
          <w:szCs w:val="20"/>
        </w:rPr>
        <w:t xml:space="preserve">Noel, C. Pfeiffer, O. Blanke, A. Serino, Full body peripersonal space as the space of the bodily self, </w:t>
      </w:r>
      <w:r>
        <w:rPr>
          <w:rFonts w:cs="Arial" w:ascii="Times New Roman" w:hAnsi="Times New Roman"/>
          <w:i/>
          <w:iCs/>
          <w:sz w:val="20"/>
          <w:szCs w:val="20"/>
        </w:rPr>
        <w:t>Cognition</w:t>
      </w:r>
      <w:r>
        <w:rPr>
          <w:rFonts w:cs="Arial" w:ascii="Times New Roman" w:hAnsi="Times New Roman"/>
          <w:sz w:val="20"/>
          <w:szCs w:val="20"/>
        </w:rPr>
        <w:t xml:space="preserve"> 144, 49-57 (2015).</w:t>
      </w:r>
    </w:p>
    <w:p>
      <w:pPr>
        <w:pStyle w:val="Normal"/>
        <w:spacing w:before="0" w:after="60"/>
        <w:rPr/>
      </w:pPr>
      <w:r>
        <w:rPr>
          <w:rFonts w:cs="Arial" w:ascii="Times New Roman" w:hAnsi="Times New Roman"/>
          <w:sz w:val="20"/>
          <w:szCs w:val="20"/>
        </w:rPr>
        <w:t xml:space="preserve">7. A. M . Goldfine, J. D. Victor, M. M. Conte, J. C. Bardin, N. D. Schiff, </w:t>
      </w:r>
      <w:r>
        <w:rPr>
          <w:rFonts w:cs="Arial" w:ascii="Liberation Serif;Times New Roma" w:hAnsi="Liberation Serif;Times New Roma"/>
          <w:sz w:val="20"/>
          <w:szCs w:val="20"/>
        </w:rPr>
        <w:t xml:space="preserve">Determination of awareness in </w:t>
      </w:r>
      <w:r>
        <w:rPr>
          <w:rFonts w:ascii="Liberation Serif;Times New Roma" w:hAnsi="Liberation Serif;Times New Roma"/>
          <w:sz w:val="20"/>
        </w:rPr>
        <w:t xml:space="preserve">patients with severe brain injury using EEG power spectral analysis, </w:t>
      </w:r>
      <w:r>
        <w:rPr>
          <w:rFonts w:ascii="Liberation Serif;Times New Roma" w:hAnsi="Liberation Serif;Times New Roma"/>
          <w:i/>
          <w:iCs/>
          <w:sz w:val="20"/>
        </w:rPr>
        <w:t>Clin. Neurophysiol.</w:t>
      </w:r>
      <w:r>
        <w:rPr>
          <w:rFonts w:ascii="Liberation Serif;Times New Roma" w:hAnsi="Liberation Serif;Times New Roma"/>
          <w:sz w:val="20"/>
        </w:rPr>
        <w:t xml:space="preserve"> 122(11), 2157-68 (2011).</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5"/>
  <w:defaultTabStop w:val="72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4c10"/>
    <w:pPr>
      <w:widowControl/>
      <w:bidi w:val="0"/>
      <w:jc w:val="left"/>
    </w:pPr>
    <w:rPr>
      <w:rFonts w:ascii="Liberation Serif" w:hAnsi="Liberation Serif" w:eastAsia="Noto Sans CJK SC Regular" w:cs="FreeSans"/>
      <w:color w:val="00000A"/>
      <w:sz w:val="24"/>
      <w:szCs w:val="24"/>
      <w:lang w:val="en-US" w:eastAsia="zh-CN" w:bidi="hi-IN"/>
    </w:rPr>
  </w:style>
  <w:style w:type="paragraph" w:styleId="Heading1" w:customStyle="1">
    <w:name w:val="Heading 1"/>
    <w:basedOn w:val="Heading"/>
    <w:qFormat/>
    <w:rsid w:val="005a4c10"/>
    <w:pPr/>
    <w:rPr/>
  </w:style>
  <w:style w:type="character" w:styleId="DefaultParagraphFont" w:default="1">
    <w:name w:val="Default Paragraph Font"/>
    <w:uiPriority w:val="1"/>
    <w:semiHidden/>
    <w:unhideWhenUsed/>
    <w:qFormat/>
    <w:rPr/>
  </w:style>
  <w:style w:type="character" w:styleId="CommentReference" w:customStyle="1">
    <w:name w:val="Comment Reference"/>
    <w:qFormat/>
    <w:rsid w:val="005a4c10"/>
    <w:rPr>
      <w:sz w:val="18"/>
      <w:szCs w:val="18"/>
    </w:rPr>
  </w:style>
  <w:style w:type="character" w:styleId="Emphasis">
    <w:name w:val="Emphasis"/>
    <w:qFormat/>
    <w:rsid w:val="005a4c10"/>
    <w:rPr>
      <w:i/>
      <w:iCs/>
    </w:rPr>
  </w:style>
  <w:style w:type="character" w:styleId="InternetLink" w:customStyle="1">
    <w:name w:val="Internet Link"/>
    <w:rsid w:val="005a4c10"/>
    <w:rPr>
      <w:color w:val="000080"/>
      <w:u w:val="single"/>
    </w:rPr>
  </w:style>
  <w:style w:type="paragraph" w:styleId="Heading" w:customStyle="1">
    <w:name w:val="Heading"/>
    <w:basedOn w:val="Normal"/>
    <w:next w:val="TextBody"/>
    <w:qFormat/>
    <w:rsid w:val="005a4c10"/>
    <w:pPr>
      <w:keepNext/>
      <w:spacing w:before="240" w:after="120"/>
    </w:pPr>
    <w:rPr>
      <w:rFonts w:ascii="Liberation Sans" w:hAnsi="Liberation Sans"/>
      <w:sz w:val="28"/>
      <w:szCs w:val="28"/>
    </w:rPr>
  </w:style>
  <w:style w:type="paragraph" w:styleId="TextBody">
    <w:name w:val="Body Text"/>
    <w:basedOn w:val="Normal"/>
    <w:rsid w:val="005a4c10"/>
    <w:pPr>
      <w:spacing w:lineRule="auto" w:line="288" w:before="0" w:after="140"/>
    </w:pPr>
    <w:rPr/>
  </w:style>
  <w:style w:type="paragraph" w:styleId="List">
    <w:name w:val="List"/>
    <w:basedOn w:val="TextBody"/>
    <w:rsid w:val="005a4c10"/>
    <w:pPr/>
    <w:rPr/>
  </w:style>
  <w:style w:type="paragraph" w:styleId="Caption" w:customStyle="1">
    <w:name w:val="Caption"/>
    <w:basedOn w:val="Normal"/>
    <w:qFormat/>
    <w:rsid w:val="005a4c10"/>
    <w:pPr>
      <w:suppressLineNumbers/>
      <w:spacing w:before="120" w:after="120"/>
    </w:pPr>
    <w:rPr>
      <w:i/>
      <w:iCs/>
    </w:rPr>
  </w:style>
  <w:style w:type="paragraph" w:styleId="Index" w:customStyle="1">
    <w:name w:val="Index"/>
    <w:basedOn w:val="Normal"/>
    <w:qFormat/>
    <w:rsid w:val="005a4c10"/>
    <w:pPr>
      <w:suppressLineNumbers/>
    </w:pPr>
    <w:rPr/>
  </w:style>
  <w:style w:type="paragraph" w:styleId="Bibliography">
    <w:name w:val="Bibliography"/>
    <w:basedOn w:val="Normal"/>
    <w:next w:val="Normal"/>
    <w:qFormat/>
    <w:rsid w:val="005a4c10"/>
    <w:pPr>
      <w:spacing w:lineRule="atLeast" w:line="280" w:before="0" w:after="60"/>
      <w:ind w:left="284" w:hanging="284"/>
      <w:jc w:val="both"/>
    </w:pPr>
    <w:rPr>
      <w:sz w:val="20"/>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LibreOffice/5.1.6.2$Linux_X86_64 LibreOffice_project/10m0$Build-2</Application>
  <Pages>2</Pages>
  <Words>758</Words>
  <Characters>4423</Characters>
  <CharactersWithSpaces>5154</CharactersWithSpaces>
  <Paragraphs>27</Paragraphs>
  <Company>CHUV | Centre hospitalier universitaire vaudois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2017-09-02T17:57:00Z</dcterms:created>
  <dc:creator>Serafeim Perdikis</dc:creator>
  <dc:description/>
  <dc:language>en-US</dc:language>
  <cp:lastModifiedBy>Serafeim Perdikis</cp:lastModifiedBy>
  <dcterms:modified xsi:type="dcterms:W3CDTF">2017-09-02T23:17:09Z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CHUV | Centre hospitalier universitaire vaudois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