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E" w:rsidRPr="00B71C3E" w:rsidRDefault="00B71C3E" w:rsidP="00B71C3E">
      <w:pPr>
        <w:rPr>
          <w:rFonts w:ascii="L-Regu" w:hAnsi="L-Regu" w:cs="L-Regu"/>
          <w:b/>
          <w:sz w:val="28"/>
          <w:szCs w:val="28"/>
          <w:lang w:val="en-US"/>
        </w:rPr>
      </w:pPr>
      <w:r w:rsidRPr="00B71C3E">
        <w:rPr>
          <w:rFonts w:ascii="L-Regu" w:hAnsi="L-Regu" w:cs="L-Regu"/>
          <w:b/>
          <w:sz w:val="28"/>
          <w:szCs w:val="28"/>
          <w:lang w:val="en-US"/>
        </w:rPr>
        <w:t>Balanced Super-resolution Optical Fluctuation Imaging</w:t>
      </w:r>
    </w:p>
    <w:p w:rsidR="00B71C3E" w:rsidRPr="00B71C3E" w:rsidRDefault="00B71C3E" w:rsidP="00B71C3E">
      <w:pPr>
        <w:rPr>
          <w:rFonts w:ascii="L-Regu" w:hAnsi="L-Regu" w:cs="L-Regu"/>
          <w:sz w:val="20"/>
          <w:szCs w:val="20"/>
          <w:lang w:val="en-US"/>
        </w:rPr>
      </w:pPr>
      <w:r w:rsidRPr="00B71C3E">
        <w:rPr>
          <w:rFonts w:ascii="L-Regu" w:hAnsi="L-Regu" w:cs="L-Regu"/>
          <w:sz w:val="20"/>
          <w:szCs w:val="20"/>
          <w:lang w:val="en-US"/>
        </w:rPr>
        <w:t xml:space="preserve">Super-resolution optical fluctuation imaging (SOFI) achieves 3D super-resolution by computing higher-order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cumulants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 of stochastically blinking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fluorophores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 [1]. In contrast to localization microscopy, SOFI is compatible with weakly emitting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fluorophores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 and a wide range of blinking conditions [2]. The main drawback of SOFI is the nonlinear response to brightness and blinking heterogeneities in the sample, which limits the use of higher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cumulant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 orders.</w:t>
      </w:r>
    </w:p>
    <w:p w:rsidR="00B71C3E" w:rsidRDefault="00B71C3E" w:rsidP="00B71C3E">
      <w:pPr>
        <w:rPr>
          <w:rFonts w:ascii="L-Regu" w:hAnsi="L-Regu" w:cs="L-Regu"/>
          <w:sz w:val="20"/>
          <w:szCs w:val="20"/>
          <w:lang w:val="en-US"/>
        </w:rPr>
      </w:pPr>
      <w:r>
        <w:rPr>
          <w:rFonts w:ascii="L-Regu" w:hAnsi="L-Regu" w:cs="L-Regu"/>
          <w:sz w:val="20"/>
          <w:szCs w:val="20"/>
          <w:lang w:val="en-US"/>
        </w:rPr>
        <w:t>B</w:t>
      </w:r>
      <w:r w:rsidRPr="00B71C3E">
        <w:rPr>
          <w:rFonts w:ascii="L-Regu" w:hAnsi="L-Regu" w:cs="L-Regu"/>
          <w:sz w:val="20"/>
          <w:szCs w:val="20"/>
          <w:lang w:val="en-US"/>
        </w:rPr>
        <w:t>alanced super-resolution optical fluctuation i</w:t>
      </w:r>
      <w:r>
        <w:rPr>
          <w:rFonts w:ascii="L-Regu" w:hAnsi="L-Regu" w:cs="L-Regu"/>
          <w:sz w:val="20"/>
          <w:szCs w:val="20"/>
          <w:lang w:val="en-US"/>
        </w:rPr>
        <w:t>maging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 (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bSOFI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>)</w:t>
      </w:r>
      <w:r>
        <w:rPr>
          <w:rFonts w:ascii="L-Regu" w:hAnsi="L-Regu" w:cs="L-Regu"/>
          <w:sz w:val="20"/>
          <w:szCs w:val="20"/>
          <w:lang w:val="en-US"/>
        </w:rPr>
        <w:t xml:space="preserve"> [3]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, extends SOFI by the combination of several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cumulant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 orders to map fluorescence-related molecular statistics, such as </w:t>
      </w:r>
      <w:r>
        <w:rPr>
          <w:rFonts w:ascii="L-Regu" w:hAnsi="L-Regu" w:cs="L-Regu"/>
          <w:sz w:val="20"/>
          <w:szCs w:val="20"/>
          <w:lang w:val="en-US"/>
        </w:rPr>
        <w:t>molecular state lifetimes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, </w:t>
      </w:r>
      <w:r>
        <w:rPr>
          <w:rFonts w:ascii="L-Regu" w:hAnsi="L-Regu" w:cs="L-Regu"/>
          <w:sz w:val="20"/>
          <w:szCs w:val="20"/>
          <w:lang w:val="en-US"/>
        </w:rPr>
        <w:t>c</w:t>
      </w:r>
      <w:r w:rsidRPr="00B71C3E">
        <w:rPr>
          <w:rFonts w:ascii="L-Regu" w:hAnsi="L-Regu" w:cs="L-Regu"/>
          <w:sz w:val="20"/>
          <w:szCs w:val="20"/>
          <w:lang w:val="en-US"/>
        </w:rPr>
        <w:t>oncentrations</w:t>
      </w:r>
      <w:r>
        <w:rPr>
          <w:rFonts w:ascii="L-Regu" w:hAnsi="L-Regu" w:cs="L-Regu"/>
          <w:sz w:val="20"/>
          <w:szCs w:val="20"/>
          <w:lang w:val="en-US"/>
        </w:rPr>
        <w:t xml:space="preserve"> and brightness distributions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 with super-resolution. Since these parameters are often linked to the chemical microenvironment of the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fluorophores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, they report on static differences and/or dynamic changes within cells and thus add a </w:t>
      </w:r>
      <w:r>
        <w:rPr>
          <w:rFonts w:ascii="L-Regu" w:hAnsi="L-Regu" w:cs="L-Regu"/>
          <w:sz w:val="20"/>
          <w:szCs w:val="20"/>
          <w:lang w:val="en-US"/>
        </w:rPr>
        <w:t>“</w:t>
      </w:r>
      <w:r w:rsidRPr="00B71C3E">
        <w:rPr>
          <w:rFonts w:ascii="L-Regu" w:hAnsi="L-Regu" w:cs="L-Regu"/>
          <w:sz w:val="20"/>
          <w:szCs w:val="20"/>
          <w:lang w:val="en-US"/>
        </w:rPr>
        <w:t>functional</w:t>
      </w:r>
      <w:r>
        <w:rPr>
          <w:rFonts w:ascii="L-Regu" w:hAnsi="L-Regu" w:cs="L-Regu"/>
          <w:sz w:val="20"/>
          <w:szCs w:val="20"/>
          <w:lang w:val="en-US"/>
        </w:rPr>
        <w:t>”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 dimension to super-resolution microscopy</w:t>
      </w:r>
      <w:r>
        <w:rPr>
          <w:rFonts w:ascii="L-Regu" w:hAnsi="L-Regu" w:cs="L-Regu"/>
          <w:sz w:val="20"/>
          <w:szCs w:val="20"/>
          <w:lang w:val="en-US"/>
        </w:rPr>
        <w:t xml:space="preserve"> based on stochastic switching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. Furthermore, the information obtained can be used to correct for the nonlinear brightness and blinking response of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cumulants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>.</w:t>
      </w:r>
    </w:p>
    <w:p w:rsidR="00B71C3E" w:rsidRDefault="00B71C3E" w:rsidP="00B71C3E">
      <w:pPr>
        <w:rPr>
          <w:rFonts w:ascii="L-Regu" w:hAnsi="L-Regu" w:cs="L-Regu"/>
          <w:sz w:val="20"/>
          <w:szCs w:val="20"/>
          <w:lang w:val="en-US"/>
        </w:rPr>
      </w:pPr>
      <w:r>
        <w:rPr>
          <w:rFonts w:ascii="L-Regu" w:hAnsi="L-Regu" w:cs="L-Regu"/>
          <w:sz w:val="20"/>
          <w:szCs w:val="20"/>
          <w:lang w:val="en-US"/>
        </w:rPr>
        <w:t xml:space="preserve">We show experimental results 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of </w:t>
      </w:r>
      <w:r>
        <w:rPr>
          <w:rFonts w:ascii="L-Regu" w:hAnsi="L-Regu" w:cs="L-Regu"/>
          <w:sz w:val="20"/>
          <w:szCs w:val="20"/>
          <w:lang w:val="en-US"/>
        </w:rPr>
        <w:t>Alexa647-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labeled microtubules </w:t>
      </w:r>
      <w:r>
        <w:rPr>
          <w:rFonts w:ascii="L-Regu" w:hAnsi="L-Regu" w:cs="L-Regu"/>
          <w:sz w:val="20"/>
          <w:szCs w:val="20"/>
          <w:lang w:val="en-US"/>
        </w:rPr>
        <w:t xml:space="preserve">in fixed </w:t>
      </w:r>
      <w:proofErr w:type="spellStart"/>
      <w:r>
        <w:rPr>
          <w:rFonts w:ascii="L-Regu" w:hAnsi="L-Regu" w:cs="L-Regu"/>
          <w:sz w:val="20"/>
          <w:szCs w:val="20"/>
          <w:lang w:val="en-US"/>
        </w:rPr>
        <w:t>HeLa</w:t>
      </w:r>
      <w:proofErr w:type="spellEnd"/>
      <w:r>
        <w:rPr>
          <w:rFonts w:ascii="L-Regu" w:hAnsi="L-Regu" w:cs="L-Regu"/>
          <w:sz w:val="20"/>
          <w:szCs w:val="20"/>
          <w:lang w:val="en-US"/>
        </w:rPr>
        <w:t xml:space="preserve"> cells with an up to five-fold resolution improvement compared to diffraction-limited </w:t>
      </w:r>
      <w:proofErr w:type="spellStart"/>
      <w:r>
        <w:rPr>
          <w:rFonts w:ascii="L-Regu" w:hAnsi="L-Regu" w:cs="L-Regu"/>
          <w:sz w:val="20"/>
          <w:szCs w:val="20"/>
          <w:lang w:val="en-US"/>
        </w:rPr>
        <w:t>widefield</w:t>
      </w:r>
      <w:proofErr w:type="spellEnd"/>
      <w:r>
        <w:rPr>
          <w:rFonts w:ascii="L-Regu" w:hAnsi="L-Regu" w:cs="L-Regu"/>
          <w:sz w:val="20"/>
          <w:szCs w:val="20"/>
          <w:lang w:val="en-US"/>
        </w:rPr>
        <w:t xml:space="preserve"> microscopy. Using a total-internal-reflection illumination scheme, we obtain depth information through the estimation of the spatial distributions of the molecular brightness as well as the blinking on-rat</w:t>
      </w:r>
      <w:bookmarkStart w:id="0" w:name="_GoBack"/>
      <w:bookmarkEnd w:id="0"/>
      <w:r>
        <w:rPr>
          <w:rFonts w:ascii="L-Regu" w:hAnsi="L-Regu" w:cs="L-Regu"/>
          <w:sz w:val="20"/>
          <w:szCs w:val="20"/>
          <w:lang w:val="en-US"/>
        </w:rPr>
        <w:t>io.</w:t>
      </w:r>
    </w:p>
    <w:p w:rsidR="00B71C3E" w:rsidRPr="00B71C3E" w:rsidRDefault="00B71C3E" w:rsidP="00B71C3E">
      <w:pPr>
        <w:rPr>
          <w:rFonts w:ascii="L-Regu" w:hAnsi="L-Regu" w:cs="L-Regu"/>
          <w:sz w:val="20"/>
          <w:szCs w:val="20"/>
          <w:lang w:val="en-US"/>
        </w:rPr>
      </w:pPr>
      <w:r w:rsidRPr="00B71C3E">
        <w:rPr>
          <w:rFonts w:ascii="L-Regu" w:hAnsi="L-Regu" w:cs="L-Regu"/>
          <w:sz w:val="20"/>
          <w:szCs w:val="20"/>
          <w:lang w:val="en-US"/>
        </w:rPr>
        <w:t xml:space="preserve">[1]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Dertinger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, T.,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Colyera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, R.,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Iyer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, G., Weiss, S., and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Enderlein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, J., </w:t>
      </w:r>
      <w:r w:rsidRPr="00B71C3E">
        <w:rPr>
          <w:rFonts w:ascii="L-Regu" w:hAnsi="L-Regu" w:cs="L-Regu"/>
          <w:i/>
          <w:sz w:val="20"/>
          <w:szCs w:val="20"/>
          <w:lang w:val="en-US"/>
        </w:rPr>
        <w:t>Proc. Natl. Acad. Sci. U.S.A.,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 </w:t>
      </w:r>
      <w:r w:rsidRPr="00B71C3E">
        <w:rPr>
          <w:rFonts w:ascii="L-Regu" w:hAnsi="L-Regu" w:cs="L-Regu"/>
          <w:b/>
          <w:sz w:val="20"/>
          <w:szCs w:val="20"/>
          <w:lang w:val="en-US"/>
        </w:rPr>
        <w:t>106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, 22287–22292 (2009). </w:t>
      </w:r>
      <w:r w:rsidRPr="00B71C3E">
        <w:rPr>
          <w:rFonts w:ascii="L-Regu" w:hAnsi="L-Regu" w:cs="L-Regu"/>
          <w:sz w:val="20"/>
          <w:szCs w:val="20"/>
          <w:lang w:val="en-US"/>
        </w:rPr>
        <w:br/>
        <w:t xml:space="preserve">[2] </w:t>
      </w:r>
      <w:proofErr w:type="spellStart"/>
      <w:proofErr w:type="gramStart"/>
      <w:r w:rsidRPr="00B71C3E">
        <w:rPr>
          <w:rFonts w:ascii="L-Regu" w:hAnsi="L-Regu" w:cs="L-Regu"/>
          <w:sz w:val="20"/>
          <w:szCs w:val="20"/>
          <w:lang w:val="en-US"/>
        </w:rPr>
        <w:t>Geissbuehler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, S.,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Dellagiacoma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, C., and </w:t>
      </w:r>
      <w:proofErr w:type="spellStart"/>
      <w:r w:rsidRPr="00B71C3E">
        <w:rPr>
          <w:rFonts w:ascii="L-Regu" w:hAnsi="L-Regu" w:cs="L-Regu"/>
          <w:sz w:val="20"/>
          <w:szCs w:val="20"/>
          <w:lang w:val="en-US"/>
        </w:rPr>
        <w:t>Lasser</w:t>
      </w:r>
      <w:proofErr w:type="spellEnd"/>
      <w:r w:rsidRPr="00B71C3E">
        <w:rPr>
          <w:rFonts w:ascii="L-Regu" w:hAnsi="L-Regu" w:cs="L-Regu"/>
          <w:sz w:val="20"/>
          <w:szCs w:val="20"/>
          <w:lang w:val="en-US"/>
        </w:rPr>
        <w:t xml:space="preserve">, T., </w:t>
      </w:r>
      <w:r w:rsidRPr="00B71C3E">
        <w:rPr>
          <w:rFonts w:ascii="L-Regu" w:hAnsi="L-Regu" w:cs="L-Regu"/>
          <w:i/>
          <w:sz w:val="20"/>
          <w:szCs w:val="20"/>
          <w:lang w:val="en-US"/>
        </w:rPr>
        <w:t>Biomed.</w:t>
      </w:r>
      <w:proofErr w:type="gramEnd"/>
      <w:r w:rsidRPr="00B71C3E">
        <w:rPr>
          <w:rFonts w:ascii="L-Regu" w:hAnsi="L-Regu" w:cs="L-Regu"/>
          <w:i/>
          <w:sz w:val="20"/>
          <w:szCs w:val="20"/>
          <w:lang w:val="en-US"/>
        </w:rPr>
        <w:t xml:space="preserve"> Opt. Express,</w:t>
      </w:r>
      <w:r w:rsidRPr="00B71C3E">
        <w:rPr>
          <w:rFonts w:ascii="L-Regu" w:hAnsi="L-Regu" w:cs="L-Regu"/>
          <w:sz w:val="20"/>
          <w:szCs w:val="20"/>
          <w:lang w:val="en-US"/>
        </w:rPr>
        <w:t xml:space="preserve"> </w:t>
      </w:r>
      <w:r w:rsidRPr="00B71C3E">
        <w:rPr>
          <w:rFonts w:ascii="L-Regu" w:hAnsi="L-Regu" w:cs="L-Regu"/>
          <w:b/>
          <w:sz w:val="20"/>
          <w:szCs w:val="20"/>
          <w:lang w:val="en-US"/>
        </w:rPr>
        <w:t>2</w:t>
      </w:r>
      <w:r w:rsidRPr="00B71C3E">
        <w:rPr>
          <w:rFonts w:ascii="L-Regu" w:hAnsi="L-Regu" w:cs="L-Regu"/>
          <w:sz w:val="20"/>
          <w:szCs w:val="20"/>
          <w:lang w:val="en-US"/>
        </w:rPr>
        <w:t>, 408-420 (2011).</w:t>
      </w:r>
      <w:r>
        <w:rPr>
          <w:rFonts w:ascii="L-Regu" w:hAnsi="L-Regu" w:cs="L-Regu"/>
          <w:sz w:val="20"/>
          <w:szCs w:val="20"/>
          <w:lang w:val="en-US"/>
        </w:rPr>
        <w:br/>
        <w:t xml:space="preserve">[3] </w:t>
      </w:r>
      <w:proofErr w:type="spellStart"/>
      <w:r>
        <w:rPr>
          <w:rFonts w:ascii="L-Regu" w:hAnsi="L-Regu" w:cs="L-Regu"/>
          <w:sz w:val="20"/>
          <w:szCs w:val="20"/>
          <w:lang w:val="en-US"/>
        </w:rPr>
        <w:t>Geissbuehlers</w:t>
      </w:r>
      <w:proofErr w:type="spellEnd"/>
      <w:r>
        <w:rPr>
          <w:rFonts w:ascii="L-Regu" w:hAnsi="L-Regu" w:cs="L-Regu"/>
          <w:sz w:val="20"/>
          <w:szCs w:val="20"/>
          <w:lang w:val="en-US"/>
        </w:rPr>
        <w:t xml:space="preserve">, S., </w:t>
      </w:r>
      <w:proofErr w:type="spellStart"/>
      <w:r>
        <w:rPr>
          <w:rFonts w:ascii="L-Regu" w:hAnsi="L-Regu" w:cs="L-Regu"/>
          <w:sz w:val="20"/>
          <w:szCs w:val="20"/>
          <w:lang w:val="en-US"/>
        </w:rPr>
        <w:t>Bocchio</w:t>
      </w:r>
      <w:proofErr w:type="spellEnd"/>
      <w:r>
        <w:rPr>
          <w:rFonts w:ascii="L-Regu" w:hAnsi="L-Regu" w:cs="L-Regu"/>
          <w:sz w:val="20"/>
          <w:szCs w:val="20"/>
          <w:lang w:val="en-US"/>
        </w:rPr>
        <w:t xml:space="preserve">, N., </w:t>
      </w:r>
      <w:proofErr w:type="spellStart"/>
      <w:r>
        <w:rPr>
          <w:rFonts w:ascii="L-Regu" w:hAnsi="L-Regu" w:cs="L-Regu"/>
          <w:sz w:val="20"/>
          <w:szCs w:val="20"/>
          <w:lang w:val="en-US"/>
        </w:rPr>
        <w:t>Dellagiacoma</w:t>
      </w:r>
      <w:proofErr w:type="spellEnd"/>
      <w:r>
        <w:rPr>
          <w:rFonts w:ascii="L-Regu" w:hAnsi="L-Regu" w:cs="L-Regu"/>
          <w:sz w:val="20"/>
          <w:szCs w:val="20"/>
          <w:lang w:val="en-US"/>
        </w:rPr>
        <w:t xml:space="preserve">, C., </w:t>
      </w:r>
      <w:proofErr w:type="spellStart"/>
      <w:r w:rsidRPr="00B71C3E">
        <w:rPr>
          <w:rFonts w:ascii="L-Regu" w:hAnsi="L-Regu" w:cs="L-Regu"/>
          <w:bCs/>
          <w:sz w:val="20"/>
          <w:szCs w:val="20"/>
        </w:rPr>
        <w:t>Berclaz</w:t>
      </w:r>
      <w:proofErr w:type="spellEnd"/>
      <w:r w:rsidRPr="00B71C3E">
        <w:rPr>
          <w:rFonts w:ascii="L-Regu" w:hAnsi="L-Regu" w:cs="L-Regu"/>
          <w:sz w:val="20"/>
          <w:szCs w:val="20"/>
        </w:rPr>
        <w:t>,</w:t>
      </w:r>
      <w:r>
        <w:rPr>
          <w:rFonts w:ascii="L-Regu" w:hAnsi="L-Regu" w:cs="L-Regu"/>
          <w:sz w:val="20"/>
          <w:szCs w:val="20"/>
        </w:rPr>
        <w:t xml:space="preserve"> C.,</w:t>
      </w:r>
      <w:r w:rsidRPr="00B71C3E">
        <w:rPr>
          <w:rFonts w:ascii="L-Regu" w:hAnsi="L-Regu" w:cs="L-Regu"/>
          <w:sz w:val="20"/>
          <w:szCs w:val="20"/>
        </w:rPr>
        <w:t xml:space="preserve"> </w:t>
      </w:r>
      <w:proofErr w:type="spellStart"/>
      <w:r w:rsidRPr="00B71C3E">
        <w:rPr>
          <w:rFonts w:ascii="L-Regu" w:hAnsi="L-Regu" w:cs="L-Regu"/>
          <w:bCs/>
          <w:sz w:val="20"/>
          <w:szCs w:val="20"/>
        </w:rPr>
        <w:t>Leutenegger</w:t>
      </w:r>
      <w:proofErr w:type="spellEnd"/>
      <w:r>
        <w:rPr>
          <w:rFonts w:ascii="L-Regu" w:hAnsi="L-Regu" w:cs="L-Regu"/>
          <w:bCs/>
          <w:sz w:val="20"/>
          <w:szCs w:val="20"/>
        </w:rPr>
        <w:t>, M.,</w:t>
      </w:r>
      <w:r w:rsidRPr="00B71C3E">
        <w:rPr>
          <w:rFonts w:ascii="L-Regu" w:hAnsi="L-Regu" w:cs="L-Regu"/>
          <w:sz w:val="20"/>
          <w:szCs w:val="20"/>
        </w:rPr>
        <w:t xml:space="preserve"> and </w:t>
      </w:r>
      <w:r w:rsidRPr="00B71C3E">
        <w:rPr>
          <w:rFonts w:ascii="L-Regu" w:hAnsi="L-Regu" w:cs="L-Regu"/>
          <w:bCs/>
          <w:sz w:val="20"/>
          <w:szCs w:val="20"/>
        </w:rPr>
        <w:t>Lasser</w:t>
      </w:r>
      <w:r>
        <w:rPr>
          <w:rFonts w:ascii="L-Regu" w:hAnsi="L-Regu" w:cs="L-Regu"/>
          <w:bCs/>
          <w:sz w:val="20"/>
          <w:szCs w:val="20"/>
        </w:rPr>
        <w:t xml:space="preserve">, T., </w:t>
      </w:r>
      <w:proofErr w:type="spellStart"/>
      <w:r w:rsidRPr="00B71C3E">
        <w:rPr>
          <w:rFonts w:ascii="L-Regu" w:hAnsi="L-Regu" w:cs="L-Regu"/>
          <w:bCs/>
          <w:i/>
          <w:sz w:val="20"/>
          <w:szCs w:val="20"/>
        </w:rPr>
        <w:t>Opt</w:t>
      </w:r>
      <w:proofErr w:type="spellEnd"/>
      <w:r w:rsidRPr="00B71C3E">
        <w:rPr>
          <w:rFonts w:ascii="L-Regu" w:hAnsi="L-Regu" w:cs="L-Regu"/>
          <w:bCs/>
          <w:i/>
          <w:sz w:val="20"/>
          <w:szCs w:val="20"/>
        </w:rPr>
        <w:t xml:space="preserve">. </w:t>
      </w:r>
      <w:proofErr w:type="spellStart"/>
      <w:r w:rsidRPr="00B71C3E">
        <w:rPr>
          <w:rFonts w:ascii="L-Regu" w:hAnsi="L-Regu" w:cs="L-Regu"/>
          <w:bCs/>
          <w:i/>
          <w:sz w:val="20"/>
          <w:szCs w:val="20"/>
        </w:rPr>
        <w:t>Nanoscopy</w:t>
      </w:r>
      <w:proofErr w:type="spellEnd"/>
      <w:r>
        <w:rPr>
          <w:rFonts w:ascii="L-Regu" w:hAnsi="L-Regu" w:cs="L-Regu"/>
          <w:bCs/>
          <w:sz w:val="20"/>
          <w:szCs w:val="20"/>
        </w:rPr>
        <w:t xml:space="preserve">, </w:t>
      </w:r>
      <w:r w:rsidRPr="00B71C3E">
        <w:rPr>
          <w:rFonts w:ascii="L-Regu" w:hAnsi="L-Regu" w:cs="L-Regu"/>
          <w:b/>
          <w:bCs/>
          <w:sz w:val="20"/>
          <w:szCs w:val="20"/>
        </w:rPr>
        <w:t>1</w:t>
      </w:r>
      <w:r>
        <w:rPr>
          <w:rFonts w:ascii="L-Regu" w:hAnsi="L-Regu" w:cs="L-Regu"/>
          <w:bCs/>
          <w:sz w:val="20"/>
          <w:szCs w:val="20"/>
        </w:rPr>
        <w:t>:4 (2012)</w:t>
      </w:r>
    </w:p>
    <w:sectPr w:rsidR="00B71C3E" w:rsidRPr="00B71C3E" w:rsidSect="00E02C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-Regu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3E"/>
    <w:rsid w:val="003A53EC"/>
    <w:rsid w:val="004313E0"/>
    <w:rsid w:val="004A692E"/>
    <w:rsid w:val="006B1969"/>
    <w:rsid w:val="00851B6C"/>
    <w:rsid w:val="00A96B39"/>
    <w:rsid w:val="00B71C3E"/>
    <w:rsid w:val="00D27054"/>
    <w:rsid w:val="00D91338"/>
    <w:rsid w:val="00DF7C68"/>
    <w:rsid w:val="00E02C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1AA76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Geissbühler</dc:creator>
  <cp:keywords/>
  <dc:description/>
  <cp:lastModifiedBy>Stefan Geissbühler</cp:lastModifiedBy>
  <cp:revision>1</cp:revision>
  <dcterms:created xsi:type="dcterms:W3CDTF">2012-05-30T13:04:00Z</dcterms:created>
  <dcterms:modified xsi:type="dcterms:W3CDTF">2012-05-30T13:43:00Z</dcterms:modified>
</cp:coreProperties>
</file>