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2570" w:rsidRPr="00D6465B" w:rsidRDefault="00A12570" w:rsidP="00A12570">
      <w:pPr>
        <w:spacing w:line="360" w:lineRule="auto"/>
        <w:jc w:val="both"/>
        <w:rPr>
          <w:rFonts w:eastAsia="Lora"/>
          <w:b/>
        </w:rPr>
      </w:pPr>
      <w:r>
        <w:rPr>
          <w:rFonts w:eastAsia="Lora"/>
          <w:b/>
        </w:rPr>
        <w:t xml:space="preserve">Supplementary material </w:t>
      </w:r>
    </w:p>
    <w:p w:rsidR="00A12570" w:rsidRPr="00D6465B" w:rsidRDefault="00A12570" w:rsidP="00A12570">
      <w:pPr>
        <w:spacing w:line="360" w:lineRule="auto"/>
        <w:jc w:val="both"/>
        <w:rPr>
          <w:rFonts w:eastAsia="Lora"/>
          <w:b/>
        </w:rPr>
      </w:pPr>
    </w:p>
    <w:p w:rsidR="00A12570" w:rsidRDefault="00A12570" w:rsidP="00A12570">
      <w:r>
        <w:fldChar w:fldCharType="begin"/>
      </w:r>
      <w:r>
        <w:instrText xml:space="preserve"> INCLUDEPICTURE "http://127.0.0.1:46433/graphics/plot.png?width=611&amp;height=514&amp;randomizer=1421495458" \* MERGEFORMATINET </w:instrText>
      </w:r>
      <w:r>
        <w:fldChar w:fldCharType="separate"/>
      </w:r>
      <w:r>
        <w:rPr>
          <w:noProof/>
        </w:rPr>
        <mc:AlternateContent>
          <mc:Choice Requires="wps">
            <w:drawing>
              <wp:inline distT="0" distB="0" distL="0" distR="0" wp14:anchorId="3FB3D765" wp14:editId="715B0A1E">
                <wp:extent cx="304800" cy="304800"/>
                <wp:effectExtent l="0" t="0" r="0" b="0"/>
                <wp:docPr id="8" name="Rectangle 8" descr="http://127.0.0.1:46433/graphics/plot.png?width=611&amp;height=514&amp;randomizer=142149545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Rectangle 8" o:spid="_x0000_s1026" alt="Description: http://127.0.0.1:46433/graphics/plot.png?width=611&amp;height=514&amp;randomizer=1421495458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" filled="f" stroked="f">
                <o:lock v:ext="edit" aspectratio="t"/>
                <w10:anchorlock/>
              </v:rect>
            </w:pict>
          </mc:Fallback>
        </mc:AlternateContent>
      </w:r>
      <w:r>
        <w:fldChar w:fldCharType="end"/>
      </w:r>
    </w:p>
    <w:p w:rsidR="00A12570" w:rsidRPr="005136F7" w:rsidRDefault="00A12570" w:rsidP="00A12570">
      <w:pPr>
        <w:jc w:val="center"/>
      </w:pPr>
      <w:r w:rsidRPr="005136F7">
        <w:rPr>
          <w:rFonts w:eastAsia="Lora"/>
          <w:noProof/>
        </w:rPr>
        <w:drawing>
          <wp:inline distT="0" distB="0" distL="0" distR="0" wp14:anchorId="4CA01C3B" wp14:editId="3567DCAD">
            <wp:extent cx="3873500" cy="3263900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X_homozygosity_rate.pn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873500" cy="3263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2570" w:rsidRPr="005136F7" w:rsidRDefault="00A12570" w:rsidP="00A12570">
      <w:pPr>
        <w:spacing w:line="360" w:lineRule="auto"/>
        <w:ind w:left="851" w:right="851"/>
        <w:jc w:val="both"/>
        <w:rPr>
          <w:lang w:val="en-GB"/>
        </w:rPr>
      </w:pPr>
      <w:r w:rsidRPr="005136F7">
        <w:rPr>
          <w:b/>
          <w:lang w:val="en-GB"/>
        </w:rPr>
        <w:t xml:space="preserve">Figure S1. X homozygosity rate per individual. </w:t>
      </w:r>
      <w:r w:rsidRPr="005136F7">
        <w:rPr>
          <w:lang w:val="en-GB"/>
        </w:rPr>
        <w:t xml:space="preserve">Men (green dots) have a homozygosity rate above 0.8 and women (red dots) have a homozygosity rate below 0.2. One individual (black dot) was identified as possible Klinefelter syndrome (XXY male).  </w:t>
      </w:r>
    </w:p>
    <w:p w:rsidR="00A12570" w:rsidRPr="00D6465B" w:rsidRDefault="00A12570" w:rsidP="00A12570">
      <w:pPr>
        <w:spacing w:line="360" w:lineRule="auto"/>
        <w:jc w:val="both"/>
        <w:rPr>
          <w:rFonts w:eastAsia="Lora"/>
        </w:rPr>
      </w:pPr>
    </w:p>
    <w:p w:rsidR="00A12570" w:rsidRPr="00D6465B" w:rsidRDefault="00A12570" w:rsidP="00A12570">
      <w:pPr>
        <w:spacing w:line="360" w:lineRule="auto"/>
        <w:jc w:val="center"/>
        <w:rPr>
          <w:rFonts w:eastAsia="Lora"/>
        </w:rPr>
      </w:pPr>
      <w:r w:rsidRPr="00D6465B">
        <w:rPr>
          <w:rFonts w:eastAsia="Lora"/>
          <w:noProof/>
        </w:rPr>
        <w:lastRenderedPageBreak/>
        <w:drawing>
          <wp:inline distT="114300" distB="114300" distL="114300" distR="114300" wp14:anchorId="6C899922" wp14:editId="75C4A7B5">
            <wp:extent cx="4343400" cy="4326835"/>
            <wp:effectExtent l="0" t="0" r="0" b="0"/>
            <wp:docPr id="5" name="image1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5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351022" cy="433442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A12570" w:rsidRPr="005136F7" w:rsidRDefault="00A12570" w:rsidP="00A12570">
      <w:pPr>
        <w:spacing w:line="360" w:lineRule="auto"/>
        <w:ind w:left="851" w:right="851"/>
        <w:jc w:val="both"/>
        <w:rPr>
          <w:b/>
          <w:lang w:val="en-GB"/>
        </w:rPr>
      </w:pPr>
      <w:r w:rsidRPr="005136F7">
        <w:rPr>
          <w:b/>
          <w:lang w:val="en-GB"/>
        </w:rPr>
        <w:t xml:space="preserve">Figure S2. Principal component analysis (PCA) plot of the Georgian study samples and HapMap3 samples. </w:t>
      </w:r>
      <w:r w:rsidRPr="005136F7">
        <w:rPr>
          <w:lang w:val="en-GB"/>
        </w:rPr>
        <w:t xml:space="preserve">ASW: African American, CEU: Utah Residents, CHB: Han Chinese, CHD: Chinese, GIH: Gujarati, JPT: Japanese, LWK: Luhya, MEX: Mexican American, MKK: Maasai, TSI: Toscani, YRI: Yoruba. </w:t>
      </w:r>
    </w:p>
    <w:p w:rsidR="00A12570" w:rsidRPr="00D6465B" w:rsidRDefault="00A12570" w:rsidP="00A12570">
      <w:pPr>
        <w:spacing w:line="360" w:lineRule="auto"/>
        <w:jc w:val="both"/>
        <w:rPr>
          <w:rFonts w:eastAsia="Lora"/>
          <w:color w:val="333333"/>
        </w:rPr>
      </w:pPr>
    </w:p>
    <w:p w:rsidR="00A12570" w:rsidRPr="00D6465B" w:rsidRDefault="00A12570" w:rsidP="00A12570">
      <w:pPr>
        <w:spacing w:line="360" w:lineRule="auto"/>
        <w:jc w:val="both"/>
        <w:rPr>
          <w:rFonts w:eastAsia="Lora"/>
          <w:color w:val="333333"/>
        </w:rPr>
      </w:pPr>
    </w:p>
    <w:p w:rsidR="00A12570" w:rsidRPr="00D6465B" w:rsidRDefault="00A12570" w:rsidP="00A12570">
      <w:pPr>
        <w:spacing w:line="360" w:lineRule="auto"/>
        <w:jc w:val="both"/>
        <w:rPr>
          <w:rFonts w:eastAsia="Lora"/>
          <w:color w:val="333333"/>
        </w:rPr>
      </w:pPr>
    </w:p>
    <w:p w:rsidR="00A12570" w:rsidRPr="00D6465B" w:rsidRDefault="00A12570" w:rsidP="00A12570">
      <w:pPr>
        <w:spacing w:line="360" w:lineRule="auto"/>
        <w:jc w:val="both"/>
        <w:rPr>
          <w:rFonts w:eastAsia="Lora"/>
          <w:color w:val="333333"/>
        </w:rPr>
      </w:pPr>
    </w:p>
    <w:p w:rsidR="00A12570" w:rsidRPr="00D6465B" w:rsidRDefault="00A12570" w:rsidP="00A12570">
      <w:pPr>
        <w:spacing w:line="360" w:lineRule="auto"/>
        <w:jc w:val="both"/>
        <w:rPr>
          <w:rFonts w:eastAsia="Lora"/>
          <w:color w:val="333333"/>
        </w:rPr>
      </w:pPr>
    </w:p>
    <w:p w:rsidR="00A12570" w:rsidRPr="00D6465B" w:rsidRDefault="00A12570" w:rsidP="00A12570">
      <w:pPr>
        <w:spacing w:line="360" w:lineRule="auto"/>
        <w:jc w:val="both"/>
        <w:rPr>
          <w:rFonts w:eastAsia="Lora"/>
          <w:color w:val="333333"/>
        </w:rPr>
      </w:pPr>
    </w:p>
    <w:p w:rsidR="00A12570" w:rsidRPr="00D6465B" w:rsidRDefault="00A12570" w:rsidP="00A12570">
      <w:pPr>
        <w:spacing w:line="360" w:lineRule="auto"/>
        <w:jc w:val="both"/>
        <w:rPr>
          <w:rFonts w:eastAsia="Lora"/>
          <w:color w:val="333333"/>
        </w:rPr>
      </w:pPr>
    </w:p>
    <w:p w:rsidR="00A12570" w:rsidRPr="00D6465B" w:rsidRDefault="00A12570" w:rsidP="00A12570">
      <w:pPr>
        <w:spacing w:line="360" w:lineRule="auto"/>
        <w:jc w:val="both"/>
        <w:rPr>
          <w:rFonts w:eastAsia="Lora"/>
          <w:color w:val="333333"/>
        </w:rPr>
      </w:pPr>
    </w:p>
    <w:p w:rsidR="00A12570" w:rsidRPr="00D6465B" w:rsidRDefault="00A12570" w:rsidP="00A12570">
      <w:pPr>
        <w:spacing w:line="360" w:lineRule="auto"/>
        <w:jc w:val="both"/>
        <w:rPr>
          <w:rFonts w:eastAsia="Lora"/>
          <w:color w:val="333333"/>
        </w:rPr>
      </w:pPr>
    </w:p>
    <w:p w:rsidR="00A12570" w:rsidRPr="00D6465B" w:rsidRDefault="00A12570" w:rsidP="00A12570">
      <w:pPr>
        <w:spacing w:line="360" w:lineRule="auto"/>
        <w:jc w:val="both"/>
        <w:rPr>
          <w:rFonts w:eastAsia="Lora"/>
          <w:color w:val="333333"/>
        </w:rPr>
      </w:pPr>
    </w:p>
    <w:p w:rsidR="00A12570" w:rsidRPr="00D6465B" w:rsidRDefault="00A12570" w:rsidP="00A12570">
      <w:pPr>
        <w:spacing w:line="360" w:lineRule="auto"/>
        <w:jc w:val="both"/>
        <w:rPr>
          <w:rFonts w:eastAsia="Lora"/>
          <w:color w:val="333333"/>
        </w:rPr>
      </w:pPr>
    </w:p>
    <w:p w:rsidR="00A12570" w:rsidRPr="00D6465B" w:rsidRDefault="00A12570" w:rsidP="00A12570">
      <w:pPr>
        <w:spacing w:line="360" w:lineRule="auto"/>
        <w:jc w:val="both"/>
        <w:rPr>
          <w:rFonts w:eastAsia="Lora"/>
        </w:rPr>
      </w:pPr>
      <w:r w:rsidRPr="00D6465B">
        <w:rPr>
          <w:rFonts w:eastAsia="Lora"/>
          <w:b/>
        </w:rPr>
        <w:t xml:space="preserve">Supplementary Table 1. </w:t>
      </w:r>
      <w:r>
        <w:rPr>
          <w:rFonts w:eastAsia="Lora"/>
          <w:b/>
        </w:rPr>
        <w:t>Genome-wide associations study (GWAS)</w:t>
      </w:r>
      <w:r w:rsidRPr="00D6465B">
        <w:rPr>
          <w:rFonts w:eastAsia="Lora"/>
          <w:b/>
        </w:rPr>
        <w:t xml:space="preserve"> summary statistics for </w:t>
      </w:r>
      <w:r w:rsidRPr="00EE4126">
        <w:rPr>
          <w:rFonts w:eastAsia="Lora"/>
          <w:b/>
        </w:rPr>
        <w:t>25-element grating</w:t>
      </w:r>
      <w:r>
        <w:rPr>
          <w:rFonts w:eastAsia="Lora"/>
          <w:b/>
        </w:rPr>
        <w:t xml:space="preserve"> (SOA25)</w:t>
      </w:r>
      <w:r w:rsidRPr="00D6465B">
        <w:rPr>
          <w:rFonts w:eastAsia="Lora"/>
          <w:b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561"/>
        <w:gridCol w:w="1261"/>
        <w:gridCol w:w="1016"/>
        <w:gridCol w:w="461"/>
        <w:gridCol w:w="461"/>
        <w:gridCol w:w="1066"/>
        <w:gridCol w:w="1033"/>
        <w:gridCol w:w="1066"/>
        <w:gridCol w:w="1591"/>
      </w:tblGrid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D9D9D9" w:themeFill="background1" w:themeFillShade="D9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b/>
                <w:color w:val="000000"/>
                <w:sz w:val="20"/>
              </w:rPr>
            </w:pPr>
            <w:r w:rsidRPr="00D6465B">
              <w:rPr>
                <w:b/>
                <w:color w:val="000000"/>
                <w:sz w:val="20"/>
              </w:rPr>
              <w:t>Chr</w:t>
            </w:r>
          </w:p>
        </w:tc>
        <w:tc>
          <w:tcPr>
            <w:tcW w:w="414" w:type="pct"/>
            <w:shd w:val="clear" w:color="auto" w:fill="D9D9D9" w:themeFill="background1" w:themeFillShade="D9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b/>
                <w:color w:val="000000"/>
                <w:sz w:val="20"/>
              </w:rPr>
            </w:pPr>
            <w:r w:rsidRPr="00D6465B">
              <w:rPr>
                <w:b/>
                <w:color w:val="000000"/>
                <w:sz w:val="20"/>
              </w:rPr>
              <w:t>SNP</w:t>
            </w:r>
          </w:p>
        </w:tc>
        <w:tc>
          <w:tcPr>
            <w:tcW w:w="361" w:type="pct"/>
            <w:shd w:val="clear" w:color="auto" w:fill="D9D9D9" w:themeFill="background1" w:themeFillShade="D9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b/>
                <w:color w:val="000000"/>
                <w:sz w:val="20"/>
              </w:rPr>
            </w:pPr>
            <w:r w:rsidRPr="00D6465B">
              <w:rPr>
                <w:b/>
                <w:color w:val="000000"/>
                <w:sz w:val="20"/>
              </w:rPr>
              <w:t>bp</w:t>
            </w:r>
          </w:p>
        </w:tc>
        <w:tc>
          <w:tcPr>
            <w:tcW w:w="361" w:type="pct"/>
            <w:shd w:val="clear" w:color="auto" w:fill="D9D9D9" w:themeFill="background1" w:themeFillShade="D9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b/>
                <w:color w:val="000000"/>
                <w:sz w:val="20"/>
              </w:rPr>
            </w:pPr>
            <w:r w:rsidRPr="00D6465B">
              <w:rPr>
                <w:b/>
                <w:color w:val="000000"/>
                <w:sz w:val="20"/>
              </w:rPr>
              <w:t>A1</w:t>
            </w:r>
          </w:p>
        </w:tc>
        <w:tc>
          <w:tcPr>
            <w:tcW w:w="361" w:type="pct"/>
            <w:shd w:val="clear" w:color="auto" w:fill="D9D9D9" w:themeFill="background1" w:themeFillShade="D9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b/>
                <w:color w:val="000000"/>
                <w:sz w:val="20"/>
              </w:rPr>
            </w:pPr>
            <w:r w:rsidRPr="00D6465B">
              <w:rPr>
                <w:b/>
                <w:color w:val="000000"/>
                <w:sz w:val="20"/>
              </w:rPr>
              <w:t>A2</w:t>
            </w:r>
          </w:p>
        </w:tc>
        <w:tc>
          <w:tcPr>
            <w:tcW w:w="361" w:type="pct"/>
            <w:shd w:val="clear" w:color="auto" w:fill="D9D9D9" w:themeFill="background1" w:themeFillShade="D9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b/>
                <w:color w:val="000000"/>
                <w:sz w:val="20"/>
              </w:rPr>
            </w:pPr>
            <w:r w:rsidRPr="00D6465B">
              <w:rPr>
                <w:b/>
                <w:color w:val="000000"/>
                <w:sz w:val="20"/>
              </w:rPr>
              <w:t>Freq</w:t>
            </w:r>
          </w:p>
        </w:tc>
        <w:tc>
          <w:tcPr>
            <w:tcW w:w="361" w:type="pct"/>
            <w:shd w:val="clear" w:color="auto" w:fill="D9D9D9" w:themeFill="background1" w:themeFillShade="D9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b/>
                <w:color w:val="000000"/>
                <w:sz w:val="20"/>
              </w:rPr>
            </w:pPr>
            <w:r w:rsidRPr="00D6465B">
              <w:rPr>
                <w:b/>
                <w:color w:val="000000"/>
                <w:sz w:val="20"/>
              </w:rPr>
              <w:t>b</w:t>
            </w:r>
          </w:p>
        </w:tc>
        <w:tc>
          <w:tcPr>
            <w:tcW w:w="361" w:type="pct"/>
            <w:shd w:val="clear" w:color="auto" w:fill="D9D9D9" w:themeFill="background1" w:themeFillShade="D9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b/>
                <w:color w:val="000000"/>
                <w:sz w:val="20"/>
              </w:rPr>
            </w:pPr>
            <w:r w:rsidRPr="00D6465B">
              <w:rPr>
                <w:b/>
                <w:color w:val="000000"/>
                <w:sz w:val="20"/>
              </w:rPr>
              <w:t>se</w:t>
            </w:r>
          </w:p>
        </w:tc>
        <w:tc>
          <w:tcPr>
            <w:tcW w:w="2057" w:type="pct"/>
            <w:shd w:val="clear" w:color="auto" w:fill="D9D9D9" w:themeFill="background1" w:themeFillShade="D9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b/>
                <w:color w:val="000000"/>
                <w:sz w:val="20"/>
              </w:rPr>
            </w:pPr>
            <w:r w:rsidRPr="00D6465B">
              <w:rPr>
                <w:b/>
                <w:color w:val="000000"/>
                <w:sz w:val="20"/>
              </w:rPr>
              <w:t>p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rs372370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52903922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0.293668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0.117757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0.024882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2.22E-06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rs435713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52903804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C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0.293668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0.117757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0.024882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2.22E-06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19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rs113123495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5587540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T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C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0.0502183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-0.253795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0.0540475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2.66E-06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9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rs7045259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36886065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C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T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0.232533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0.123413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0.026515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3.25E-06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9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rs9696279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36916871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0.234716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0.122621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0.0265049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3.72E-06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rs10036570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52869005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0.293668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0.114433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0.0247554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3.79E-06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rs13164833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52871414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C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T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0.293668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0.114433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0.0247554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3.79E-06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rs256094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52972924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0.293668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0.114433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0.0247554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3.79E-06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rs6864497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52882588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C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T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0.293668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0.114433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0.0247554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3.79E-06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rs9292024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52869172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T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0.293668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0.114433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0.0247554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3.79E-06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rs2636993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52929796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0.29476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0.113371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0.0247665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4.70E-06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rs3103601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52891848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0.29476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0.113371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0.0247665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4.70E-06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rs365578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52937809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T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0.29476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0.113371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0.0247665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4.70E-06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rs409313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52899939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T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0.29476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0.113371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0.0247665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4.70E-06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rs412559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52913935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0.29476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0.113371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0.0247665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4.70E-06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19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rs113027608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5578403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C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0.0611354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-0.224154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0.0495902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6.18E-06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rs1490769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52954280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0.295852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0.111744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0.0247779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6.49E-06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rs566111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53000047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0.293668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0.111469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0.0247554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6.71E-06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19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rs10411903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5578099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0.069869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-0.209424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0.046856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7.84E-06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19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rs61705252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5579696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C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0.069869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-0.209424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0.046856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7.84E-06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19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rs7251910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5575246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T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C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0.069869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-0.209424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0.046856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7.84E-06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rs2219359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53003486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C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T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0.29476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0.110405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0.0247665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8.28E-06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rs2607491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53003810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C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T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0.29476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0.110405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0.0247665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8.28E-06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rs2637016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53004433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C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T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0.29476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0.110405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0.0247665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8.28E-06</w:t>
            </w:r>
          </w:p>
        </w:tc>
      </w:tr>
      <w:tr w:rsidR="00A12570" w:rsidRPr="00D6465B" w:rsidTr="001F725C">
        <w:trPr>
          <w:trHeight w:val="320"/>
        </w:trPr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</w:t>
            </w:r>
          </w:p>
        </w:tc>
        <w:tc>
          <w:tcPr>
            <w:tcW w:w="414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rs2637021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52998994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T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0.29476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0.110405</w:t>
            </w:r>
          </w:p>
        </w:tc>
        <w:tc>
          <w:tcPr>
            <w:tcW w:w="361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0.0247665</w:t>
            </w:r>
          </w:p>
        </w:tc>
        <w:tc>
          <w:tcPr>
            <w:tcW w:w="2057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8.28E-06</w:t>
            </w:r>
          </w:p>
        </w:tc>
      </w:tr>
    </w:tbl>
    <w:p w:rsidR="00A12570" w:rsidRPr="00D6465B" w:rsidRDefault="00A12570" w:rsidP="00A12570">
      <w:pPr>
        <w:spacing w:line="360" w:lineRule="auto"/>
        <w:jc w:val="both"/>
        <w:rPr>
          <w:rFonts w:eastAsia="Lora"/>
        </w:rPr>
      </w:pPr>
    </w:p>
    <w:p w:rsidR="00A12570" w:rsidRDefault="00A12570" w:rsidP="00A12570">
      <w:pPr>
        <w:spacing w:line="360" w:lineRule="auto"/>
        <w:jc w:val="both"/>
        <w:rPr>
          <w:rFonts w:eastAsia="Lora"/>
        </w:rPr>
      </w:pPr>
      <w:r w:rsidRPr="00D6465B">
        <w:rPr>
          <w:rFonts w:eastAsia="Lora"/>
        </w:rPr>
        <w:t xml:space="preserve">Chr, chromosome; SNP, rsID; bp; base-pair position (build 37); A1, minor allele; A2, major allele; Freq, allele frequency of A1; b, effect size of A1; se, standard error of b; p, p-value. </w:t>
      </w:r>
    </w:p>
    <w:p w:rsidR="00A12570" w:rsidRPr="00D6465B" w:rsidRDefault="00A12570" w:rsidP="00A12570">
      <w:pPr>
        <w:spacing w:line="360" w:lineRule="auto"/>
        <w:jc w:val="both"/>
        <w:rPr>
          <w:rFonts w:eastAsia="Lora"/>
        </w:rPr>
      </w:pPr>
      <w:r w:rsidRPr="00EE4126">
        <w:rPr>
          <w:rFonts w:eastAsia="Lora"/>
        </w:rPr>
        <w:t>The Genome Reference Consortium Human build 37 (GRCh37) is the reference genome used</w:t>
      </w:r>
      <w:r>
        <w:rPr>
          <w:rFonts w:eastAsia="Lora"/>
        </w:rPr>
        <w:t>.</w:t>
      </w:r>
    </w:p>
    <w:p w:rsidR="00A12570" w:rsidRPr="00D6465B" w:rsidRDefault="00A12570" w:rsidP="00A12570">
      <w:pPr>
        <w:spacing w:line="360" w:lineRule="auto"/>
        <w:jc w:val="both"/>
        <w:rPr>
          <w:rFonts w:eastAsia="Lora"/>
        </w:rPr>
      </w:pPr>
    </w:p>
    <w:p w:rsidR="00A12570" w:rsidRPr="00D6465B" w:rsidRDefault="00A12570" w:rsidP="00A12570">
      <w:pPr>
        <w:spacing w:line="360" w:lineRule="auto"/>
        <w:jc w:val="both"/>
        <w:rPr>
          <w:rFonts w:eastAsia="Lora"/>
        </w:rPr>
      </w:pPr>
    </w:p>
    <w:p w:rsidR="00A12570" w:rsidRPr="00D6465B" w:rsidRDefault="00A12570" w:rsidP="00A12570">
      <w:pPr>
        <w:spacing w:line="360" w:lineRule="auto"/>
        <w:jc w:val="both"/>
        <w:rPr>
          <w:rFonts w:eastAsia="Lora"/>
        </w:rPr>
      </w:pPr>
    </w:p>
    <w:p w:rsidR="00A12570" w:rsidRPr="00D6465B" w:rsidRDefault="00A12570" w:rsidP="00A12570">
      <w:pPr>
        <w:spacing w:line="360" w:lineRule="auto"/>
        <w:jc w:val="both"/>
        <w:rPr>
          <w:rFonts w:eastAsia="Lora"/>
        </w:rPr>
      </w:pPr>
    </w:p>
    <w:p w:rsidR="00A12570" w:rsidRPr="00D6465B" w:rsidRDefault="00A12570" w:rsidP="00A12570">
      <w:pPr>
        <w:spacing w:line="360" w:lineRule="auto"/>
        <w:jc w:val="both"/>
        <w:rPr>
          <w:rFonts w:eastAsia="Lora"/>
        </w:rPr>
      </w:pPr>
    </w:p>
    <w:p w:rsidR="00A12570" w:rsidRPr="00D6465B" w:rsidRDefault="00A12570" w:rsidP="00A12570">
      <w:pPr>
        <w:spacing w:line="360" w:lineRule="auto"/>
        <w:ind w:firstLine="720"/>
        <w:jc w:val="both"/>
        <w:rPr>
          <w:rFonts w:eastAsia="Lora"/>
        </w:rPr>
      </w:pPr>
    </w:p>
    <w:p w:rsidR="00A12570" w:rsidRPr="00D6465B" w:rsidRDefault="00A12570" w:rsidP="00A12570">
      <w:pPr>
        <w:spacing w:line="360" w:lineRule="auto"/>
        <w:jc w:val="both"/>
        <w:rPr>
          <w:rFonts w:eastAsia="Lora"/>
        </w:rPr>
      </w:pPr>
      <w:r w:rsidRPr="00D6465B">
        <w:rPr>
          <w:rFonts w:eastAsia="Lora"/>
          <w:b/>
        </w:rPr>
        <w:t xml:space="preserve">Supplementary Table 2. </w:t>
      </w:r>
      <w:r>
        <w:rPr>
          <w:rFonts w:eastAsia="Lora"/>
          <w:b/>
        </w:rPr>
        <w:t xml:space="preserve">Genome-wide associations study (GWAS) </w:t>
      </w:r>
      <w:r w:rsidRPr="00D6465B">
        <w:rPr>
          <w:rFonts w:eastAsia="Lora"/>
          <w:b/>
        </w:rPr>
        <w:t xml:space="preserve">summary statistics for </w:t>
      </w:r>
      <w:r w:rsidRPr="00EE4126">
        <w:rPr>
          <w:rFonts w:eastAsia="Lora"/>
          <w:b/>
        </w:rPr>
        <w:t>5-element grating</w:t>
      </w:r>
      <w:r>
        <w:rPr>
          <w:rFonts w:eastAsia="Lora"/>
          <w:b/>
        </w:rPr>
        <w:t xml:space="preserve"> (SOA5).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1161"/>
        <w:gridCol w:w="1116"/>
        <w:gridCol w:w="706"/>
        <w:gridCol w:w="707"/>
        <w:gridCol w:w="966"/>
        <w:gridCol w:w="1133"/>
        <w:gridCol w:w="1066"/>
        <w:gridCol w:w="955"/>
      </w:tblGrid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D9D9D9" w:themeFill="background1" w:themeFillShade="D9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b/>
                <w:color w:val="000000"/>
                <w:sz w:val="20"/>
              </w:rPr>
            </w:pPr>
            <w:r w:rsidRPr="00D6465B">
              <w:rPr>
                <w:b/>
                <w:color w:val="000000"/>
                <w:sz w:val="20"/>
              </w:rPr>
              <w:t>Chr</w:t>
            </w:r>
          </w:p>
        </w:tc>
        <w:tc>
          <w:tcPr>
            <w:tcW w:w="556" w:type="pct"/>
            <w:shd w:val="clear" w:color="auto" w:fill="D9D9D9" w:themeFill="background1" w:themeFillShade="D9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b/>
                <w:color w:val="000000"/>
                <w:sz w:val="20"/>
              </w:rPr>
            </w:pPr>
            <w:r w:rsidRPr="00D6465B">
              <w:rPr>
                <w:b/>
                <w:color w:val="000000"/>
                <w:sz w:val="20"/>
              </w:rPr>
              <w:t>SNP</w:t>
            </w:r>
          </w:p>
        </w:tc>
        <w:tc>
          <w:tcPr>
            <w:tcW w:w="556" w:type="pct"/>
            <w:shd w:val="clear" w:color="auto" w:fill="D9D9D9" w:themeFill="background1" w:themeFillShade="D9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b/>
                <w:color w:val="000000"/>
                <w:sz w:val="20"/>
              </w:rPr>
            </w:pPr>
            <w:r w:rsidRPr="00D6465B">
              <w:rPr>
                <w:b/>
                <w:color w:val="000000"/>
                <w:sz w:val="20"/>
              </w:rPr>
              <w:t>bp</w:t>
            </w:r>
          </w:p>
        </w:tc>
        <w:tc>
          <w:tcPr>
            <w:tcW w:w="556" w:type="pct"/>
            <w:shd w:val="clear" w:color="auto" w:fill="D9D9D9" w:themeFill="background1" w:themeFillShade="D9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b/>
                <w:color w:val="000000"/>
                <w:sz w:val="20"/>
              </w:rPr>
            </w:pPr>
            <w:r w:rsidRPr="00D6465B">
              <w:rPr>
                <w:b/>
                <w:color w:val="000000"/>
                <w:sz w:val="20"/>
              </w:rPr>
              <w:t>A1</w:t>
            </w:r>
          </w:p>
        </w:tc>
        <w:tc>
          <w:tcPr>
            <w:tcW w:w="556" w:type="pct"/>
            <w:shd w:val="clear" w:color="auto" w:fill="D9D9D9" w:themeFill="background1" w:themeFillShade="D9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b/>
                <w:color w:val="000000"/>
                <w:sz w:val="20"/>
              </w:rPr>
            </w:pPr>
            <w:r w:rsidRPr="00D6465B">
              <w:rPr>
                <w:b/>
                <w:color w:val="000000"/>
                <w:sz w:val="20"/>
              </w:rPr>
              <w:t>A2</w:t>
            </w:r>
          </w:p>
        </w:tc>
        <w:tc>
          <w:tcPr>
            <w:tcW w:w="556" w:type="pct"/>
            <w:shd w:val="clear" w:color="auto" w:fill="D9D9D9" w:themeFill="background1" w:themeFillShade="D9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b/>
                <w:color w:val="000000"/>
                <w:sz w:val="20"/>
              </w:rPr>
            </w:pPr>
            <w:r w:rsidRPr="00D6465B">
              <w:rPr>
                <w:b/>
                <w:color w:val="000000"/>
                <w:sz w:val="20"/>
              </w:rPr>
              <w:t>Freq</w:t>
            </w:r>
          </w:p>
        </w:tc>
        <w:tc>
          <w:tcPr>
            <w:tcW w:w="556" w:type="pct"/>
            <w:shd w:val="clear" w:color="auto" w:fill="D9D9D9" w:themeFill="background1" w:themeFillShade="D9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b/>
                <w:color w:val="000000"/>
                <w:sz w:val="20"/>
              </w:rPr>
            </w:pPr>
            <w:r w:rsidRPr="00D6465B">
              <w:rPr>
                <w:b/>
                <w:color w:val="000000"/>
                <w:sz w:val="20"/>
              </w:rPr>
              <w:t>b</w:t>
            </w:r>
          </w:p>
        </w:tc>
        <w:tc>
          <w:tcPr>
            <w:tcW w:w="556" w:type="pct"/>
            <w:shd w:val="clear" w:color="auto" w:fill="D9D9D9" w:themeFill="background1" w:themeFillShade="D9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b/>
                <w:color w:val="000000"/>
                <w:sz w:val="20"/>
              </w:rPr>
            </w:pPr>
            <w:r w:rsidRPr="00D6465B">
              <w:rPr>
                <w:b/>
                <w:color w:val="000000"/>
                <w:sz w:val="20"/>
              </w:rPr>
              <w:t>se</w:t>
            </w:r>
          </w:p>
        </w:tc>
        <w:tc>
          <w:tcPr>
            <w:tcW w:w="556" w:type="pct"/>
            <w:shd w:val="clear" w:color="auto" w:fill="D9D9D9" w:themeFill="background1" w:themeFillShade="D9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b/>
                <w:color w:val="000000"/>
                <w:sz w:val="20"/>
              </w:rPr>
            </w:pPr>
            <w:r w:rsidRPr="00D6465B">
              <w:rPr>
                <w:b/>
                <w:color w:val="000000"/>
                <w:sz w:val="20"/>
              </w:rPr>
              <w:t>p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rs73013971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122071924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0.34607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-0.0686285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0.0155094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9.65E-06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rs73013973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122071925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T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0.34607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-0.0686285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0.0155094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9.65E-06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rs73013975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122072103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0.34607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-0.0686285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0.0155094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9.65E-06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rs981396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20346651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0.407205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-0.0632626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0.014344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1.03E-05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rs61909866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122061369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T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C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0.362445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-0.0658951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0.0149793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1.09E-05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rs79357510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122031447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C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0.337336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-0.0654675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0.0149944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1.26E-05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rs17337634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122067773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C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0.348253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-0.0673936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0.0154565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1.30E-05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rs61909878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122068423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C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T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0.348253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-0.0673936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0.0154565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1.30E-05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rs61910054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122030746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0.335153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-0.0648357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0.0149556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1.46E-05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rs11032301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4472581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C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0.155022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0.0836668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0.0193037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1.46E-05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rs17697993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20341993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0.409389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-0.0614192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0.014315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1.78E-05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3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rs1154275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112485222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0.473799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0.0630248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0.0146963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1.80E-05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20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rs59832377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18571333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C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T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0.460699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0.0617454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0.0143986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1.80E-05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rs11032304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4472880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C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T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0.156114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0.081921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0.019151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1.89E-05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rs11032339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4482342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0.158297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0.0814252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0.0191281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2.07E-05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rs6531213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20344011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C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T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0.407205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-0.0610806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0.0143496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2.08E-05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4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rs28522740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1569985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0.39083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-0.0620043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0.01466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2.34E-05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4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rs10003680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1588977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T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C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0.41048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-0.0607757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0.0143857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2.39E-05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4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rs6852987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1587323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C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T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0.41048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-0.0607757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0.0143857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2.39E-05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rs2553760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108753316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0.161572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-0.0795548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0.018847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2.43E-05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rs2553761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108754443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0.161572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-0.0795548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0.018847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2.43E-05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20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rs6136418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18560114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0.472707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0.0606522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0.0143792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2.46E-05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4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rs10010688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1588848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T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0.411572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-0.0607547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0.0144074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2.48E-05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6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rs9258740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29827899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T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C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0.149563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0.0920321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0.0218247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2.48E-05</w:t>
            </w:r>
          </w:p>
        </w:tc>
      </w:tr>
      <w:tr w:rsidR="00A12570" w:rsidRPr="00D6465B" w:rsidTr="001F725C">
        <w:trPr>
          <w:trHeight w:val="32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4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rs57766696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1584640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A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G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0.415939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-0.0606859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0.0144254</w:t>
            </w:r>
          </w:p>
        </w:tc>
        <w:tc>
          <w:tcPr>
            <w:tcW w:w="556" w:type="pct"/>
            <w:shd w:val="clear" w:color="auto" w:fill="auto"/>
            <w:noWrap/>
            <w:vAlign w:val="bottom"/>
            <w:hideMark/>
          </w:tcPr>
          <w:p w:rsidR="00A12570" w:rsidRPr="00D6465B" w:rsidRDefault="00A12570" w:rsidP="001F725C">
            <w:pPr>
              <w:jc w:val="center"/>
              <w:rPr>
                <w:color w:val="000000"/>
                <w:sz w:val="20"/>
              </w:rPr>
            </w:pPr>
            <w:r w:rsidRPr="00D6465B">
              <w:rPr>
                <w:color w:val="000000"/>
                <w:sz w:val="20"/>
              </w:rPr>
              <w:t>2.59E-05</w:t>
            </w:r>
          </w:p>
        </w:tc>
      </w:tr>
    </w:tbl>
    <w:p w:rsidR="00A12570" w:rsidRPr="00D6465B" w:rsidRDefault="00A12570" w:rsidP="00A12570">
      <w:pPr>
        <w:jc w:val="center"/>
        <w:rPr>
          <w:color w:val="000000"/>
          <w:sz w:val="22"/>
        </w:rPr>
      </w:pPr>
    </w:p>
    <w:p w:rsidR="00A12570" w:rsidRPr="00D6465B" w:rsidRDefault="00A12570" w:rsidP="00A12570">
      <w:pPr>
        <w:rPr>
          <w:b/>
          <w:color w:val="000000"/>
          <w:sz w:val="22"/>
        </w:rPr>
      </w:pPr>
    </w:p>
    <w:p w:rsidR="00A12570" w:rsidRPr="00D6465B" w:rsidRDefault="00A12570" w:rsidP="00A12570">
      <w:pPr>
        <w:spacing w:line="360" w:lineRule="auto"/>
        <w:jc w:val="both"/>
        <w:rPr>
          <w:rFonts w:eastAsia="Lora"/>
        </w:rPr>
      </w:pPr>
      <w:r w:rsidRPr="00D6465B">
        <w:rPr>
          <w:rFonts w:eastAsia="Lora"/>
        </w:rPr>
        <w:t xml:space="preserve">Chr, chromosome; SNP, rsID; bp; base-pair position (build 37); A1, minor allele; A2, major allele; Freq, allele frequency of A1; b, effect size of A1; se, standard error of b; p, p-value. </w:t>
      </w:r>
    </w:p>
    <w:p w:rsidR="00A12570" w:rsidRPr="00D6465B" w:rsidRDefault="00A12570" w:rsidP="00A12570">
      <w:pPr>
        <w:spacing w:line="360" w:lineRule="auto"/>
        <w:jc w:val="both"/>
        <w:rPr>
          <w:rFonts w:eastAsia="Lora"/>
        </w:rPr>
      </w:pPr>
      <w:r w:rsidRPr="00D6465B">
        <w:rPr>
          <w:b/>
          <w:color w:val="000000"/>
          <w:sz w:val="22"/>
        </w:rPr>
        <w:t xml:space="preserve"> </w:t>
      </w:r>
      <w:r w:rsidRPr="00EE4126">
        <w:rPr>
          <w:rFonts w:eastAsia="Lora"/>
        </w:rPr>
        <w:t>The Genome Reference Consortium Human build 37 (GRCh37) is the reference genome used</w:t>
      </w:r>
      <w:r>
        <w:rPr>
          <w:rFonts w:eastAsia="Lora"/>
        </w:rPr>
        <w:t>.</w:t>
      </w:r>
    </w:p>
    <w:p w:rsidR="00A12570" w:rsidRPr="00D6465B" w:rsidRDefault="00A12570" w:rsidP="00A12570">
      <w:pPr>
        <w:rPr>
          <w:b/>
          <w:color w:val="000000"/>
          <w:sz w:val="22"/>
        </w:rPr>
      </w:pPr>
    </w:p>
    <w:p w:rsidR="00A12570" w:rsidRDefault="00A12570" w:rsidP="00A12570">
      <w:r w:rsidRPr="005A6440">
        <w:t xml:space="preserve"> </w:t>
      </w:r>
      <w:r>
        <w:rPr>
          <w:noProof/>
        </w:rPr>
        <w:drawing>
          <wp:inline distT="0" distB="0" distL="0" distR="0" wp14:anchorId="0073F019" wp14:editId="7ACEAF24">
            <wp:extent cx="5972810" cy="3366770"/>
            <wp:effectExtent l="0" t="0" r="0" b="0"/>
            <wp:docPr id="19" name="Picture 19" descr="/var/folders/jv/2mfzj26x63g195cc_lhvydph0000gp/T/com.microsoft.Word/WebArchiveCopyPasteTempFiles/plot.png?width=1006&amp;height=567&amp;randomizer=-19903192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/var/folders/jv/2mfzj26x63g195cc_lhvydph0000gp/T/com.microsoft.Word/WebArchiveCopyPasteTempFiles/plot.png?width=1006&amp;height=567&amp;randomizer=-199031923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3366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12570" w:rsidRDefault="00A12570" w:rsidP="00A12570"/>
    <w:p w:rsidR="00A12570" w:rsidRPr="00D6465B" w:rsidRDefault="00A12570" w:rsidP="00A12570">
      <w:pPr>
        <w:spacing w:line="360" w:lineRule="auto"/>
        <w:jc w:val="both"/>
        <w:rPr>
          <w:b/>
        </w:rPr>
      </w:pPr>
    </w:p>
    <w:p w:rsidR="00A12570" w:rsidRPr="00D6465B" w:rsidRDefault="00A12570" w:rsidP="00A12570">
      <w:pPr>
        <w:spacing w:line="360" w:lineRule="auto"/>
        <w:jc w:val="both"/>
        <w:rPr>
          <w:b/>
        </w:rPr>
      </w:pPr>
    </w:p>
    <w:p w:rsidR="00A12570" w:rsidRPr="005136F7" w:rsidRDefault="00A12570" w:rsidP="00A12570">
      <w:pPr>
        <w:spacing w:line="360" w:lineRule="auto"/>
        <w:ind w:left="851" w:right="851"/>
        <w:jc w:val="both"/>
        <w:rPr>
          <w:b/>
          <w:lang w:val="en-GB"/>
        </w:rPr>
      </w:pPr>
      <w:r w:rsidRPr="005136F7">
        <w:rPr>
          <w:b/>
          <w:lang w:val="en-GB"/>
        </w:rPr>
        <w:t xml:space="preserve">Figure S3. Distribution of PRS scores in controls, healthy relatives and patients with schizophrenia. </w:t>
      </w:r>
    </w:p>
    <w:p w:rsidR="00A12570" w:rsidRPr="00280E33" w:rsidRDefault="00A12570" w:rsidP="00A12570">
      <w:pPr>
        <w:rPr>
          <w:b/>
          <w:color w:val="000000"/>
          <w:sz w:val="22"/>
        </w:rPr>
      </w:pPr>
    </w:p>
    <w:p w:rsidR="00A12570" w:rsidRPr="00280E33" w:rsidRDefault="00A12570" w:rsidP="00A12570">
      <w:pPr>
        <w:jc w:val="center"/>
        <w:rPr>
          <w:b/>
          <w:color w:val="000000"/>
          <w:sz w:val="22"/>
        </w:rPr>
      </w:pPr>
    </w:p>
    <w:p w:rsidR="00A12570" w:rsidRDefault="00A12570" w:rsidP="00A12570">
      <w:pPr>
        <w:jc w:val="center"/>
        <w:rPr>
          <w:b/>
          <w:color w:val="000000"/>
          <w:sz w:val="22"/>
        </w:rPr>
      </w:pPr>
    </w:p>
    <w:p w:rsidR="00A12570" w:rsidRDefault="00A12570" w:rsidP="00A12570">
      <w:pPr>
        <w:jc w:val="center"/>
        <w:rPr>
          <w:b/>
          <w:color w:val="000000"/>
          <w:sz w:val="22"/>
        </w:rPr>
      </w:pPr>
    </w:p>
    <w:p w:rsidR="00A12570" w:rsidRDefault="00A12570" w:rsidP="00A12570">
      <w:pPr>
        <w:jc w:val="center"/>
      </w:pPr>
    </w:p>
    <w:p w:rsidR="00A12570" w:rsidRDefault="00A12570" w:rsidP="00A12570">
      <w:pPr>
        <w:jc w:val="center"/>
      </w:pPr>
      <w:r>
        <w:rPr>
          <w:noProof/>
        </w:rPr>
        <w:drawing>
          <wp:inline distT="0" distB="0" distL="0" distR="0" wp14:anchorId="662203E5" wp14:editId="41FC4B52">
            <wp:extent cx="4002374" cy="2756047"/>
            <wp:effectExtent l="0" t="0" r="0" b="0"/>
            <wp:docPr id="21" name="Picture 21" descr="/var/folders/jv/2mfzj26x63g195cc_lhvydph0000gp/T/com.microsoft.Word/WebArchiveCopyPasteTempFiles/plot.png?width=823&amp;height=567&amp;randomizer=7704613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/var/folders/jv/2mfzj26x63g195cc_lhvydph0000gp/T/com.microsoft.Word/WebArchiveCopyPasteTempFiles/plot.png?width=823&amp;height=567&amp;randomizer=77046139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1769" cy="27625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12570" w:rsidRDefault="00A12570" w:rsidP="00A12570">
      <w:pPr>
        <w:jc w:val="center"/>
      </w:pPr>
    </w:p>
    <w:p w:rsidR="00A12570" w:rsidRPr="005136F7" w:rsidRDefault="00A12570" w:rsidP="00A12570">
      <w:pPr>
        <w:spacing w:line="360" w:lineRule="auto"/>
        <w:ind w:left="851" w:right="851"/>
        <w:jc w:val="both"/>
        <w:rPr>
          <w:b/>
          <w:lang w:val="en-GB"/>
        </w:rPr>
      </w:pPr>
      <w:r w:rsidRPr="005136F7">
        <w:rPr>
          <w:b/>
          <w:lang w:val="en-GB"/>
        </w:rPr>
        <w:t xml:space="preserve">Figure S4. Confusion matrix for Machine Learning classification of schizophrenia based on SOA25 and PRS for each participant in the test data set. </w:t>
      </w:r>
      <w:r w:rsidRPr="005136F7">
        <w:rPr>
          <w:lang w:val="en-GB"/>
        </w:rPr>
        <w:t>The rows represent the actual diagnosis (</w:t>
      </w:r>
      <w:r>
        <w:rPr>
          <w:lang w:val="en-GB"/>
        </w:rPr>
        <w:t>schizophrenia diagnosis</w:t>
      </w:r>
      <w:r w:rsidRPr="005136F7">
        <w:rPr>
          <w:lang w:val="en-GB"/>
        </w:rPr>
        <w:t xml:space="preserve"> vs. control) and the columns represent the predicted diagnosis. The number in each cell represents the number of participants for each scenario. Cases are colored by their frequency.</w:t>
      </w:r>
      <w:r w:rsidRPr="005136F7">
        <w:rPr>
          <w:b/>
          <w:lang w:val="en-GB"/>
        </w:rPr>
        <w:t xml:space="preserve">  </w:t>
      </w:r>
    </w:p>
    <w:p w:rsidR="00A12570" w:rsidRPr="00280E33" w:rsidRDefault="00A12570" w:rsidP="00A12570">
      <w:pPr>
        <w:jc w:val="center"/>
        <w:rPr>
          <w:b/>
          <w:color w:val="000000"/>
          <w:sz w:val="22"/>
        </w:rPr>
      </w:pPr>
    </w:p>
    <w:p w:rsidR="000B32CD" w:rsidRDefault="000B32CD">
      <w:bookmarkStart w:id="0" w:name="_GoBack"/>
      <w:bookmarkEnd w:id="0"/>
    </w:p>
    <w:sectPr w:rsidR="000B32CD" w:rsidSect="00296E37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Lora">
    <w:charset w:val="00"/>
    <w:family w:val="auto"/>
    <w:pitch w:val="variable"/>
    <w:sig w:usb0="A00002FF" w:usb1="5000204B" w:usb2="00000000" w:usb3="00000000" w:csb0="00000097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44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2570"/>
    <w:rsid w:val="000B32CD"/>
    <w:rsid w:val="00296E37"/>
    <w:rsid w:val="00A12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7B8F1B90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2570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12570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2570"/>
    <w:rPr>
      <w:rFonts w:ascii="Lucida Grande" w:eastAsia="Times New Roman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2570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12570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2570"/>
    <w:rPr>
      <w:rFonts w:ascii="Lucida Grande" w:eastAsia="Times New Roman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843</Words>
  <Characters>4809</Characters>
  <Application>Microsoft Macintosh Word</Application>
  <DocSecurity>0</DocSecurity>
  <Lines>40</Lines>
  <Paragraphs>11</Paragraphs>
  <ScaleCrop>false</ScaleCrop>
  <Company/>
  <LinksUpToDate>false</LinksUpToDate>
  <CharactersWithSpaces>5641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Alba</dc:creator>
  <cp:keywords/>
  <dc:description/>
  <cp:lastModifiedBy>Alba</cp:lastModifiedBy>
  <cp:revision>1</cp:revision>
  <dcterms:created xsi:type="dcterms:W3CDTF">2022-01-16T15:23:00Z</dcterms:created>
  <dcterms:modified xsi:type="dcterms:W3CDTF">2022-01-16T15:23:00Z</dcterms:modified>
</cp:coreProperties>
</file>